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98428089"/>
        <w:docPartObj>
          <w:docPartGallery w:val="Table of Contents"/>
          <w:docPartUnique/>
        </w:docPartObj>
      </w:sdtPr>
      <w:sdtEndPr>
        <w:rPr>
          <w:b/>
          <w:bCs/>
          <w:noProof/>
        </w:rPr>
      </w:sdtEndPr>
      <w:sdtContent>
        <w:p w:rsidR="0080579D" w:rsidRDefault="00B847F5">
          <w:pPr>
            <w:spacing w:before="360" w:after="240" w:line="240" w:lineRule="auto"/>
            <w:jc w:val="center"/>
            <w:rPr>
              <w:rFonts w:ascii="Teva Sans Light" w:hAnsi="Teva Sans Light"/>
              <w:b/>
              <w:sz w:val="32"/>
            </w:rPr>
          </w:pPr>
          <w:r>
            <w:rPr>
              <w:rFonts w:ascii="Teva Sans Light" w:eastAsia="Teva Sans Light" w:hAnsi="Teva Sans Light" w:cs="Arial"/>
              <w:b/>
              <w:bCs/>
              <w:sz w:val="32"/>
              <w:szCs w:val="32"/>
              <w:lang w:val="fr-FR"/>
            </w:rPr>
            <w:t>Fiche d’informations EngageMate</w:t>
          </w:r>
        </w:p>
        <w:p w:rsidR="0080579D" w:rsidRDefault="00B847F5">
          <w:pPr>
            <w:pStyle w:val="TOCHeading"/>
          </w:pPr>
          <w:r>
            <w:rPr>
              <w:rFonts w:ascii="Calibri Light" w:eastAsia="Calibri Light" w:hAnsi="Calibri Light" w:cs="Times New Roman"/>
              <w:color w:val="2E74B5"/>
              <w:lang w:val="fr-FR"/>
            </w:rPr>
            <w:t>Sommaire</w:t>
          </w:r>
        </w:p>
        <w:p w:rsidR="0080579D" w:rsidRDefault="0080579D">
          <w:pPr>
            <w:pStyle w:val="TOC1"/>
            <w:tabs>
              <w:tab w:val="right" w:leader="dot" w:pos="10502"/>
            </w:tabs>
          </w:pPr>
        </w:p>
        <w:p w:rsidR="00B847F5" w:rsidRDefault="00B847F5">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121404945" w:history="1">
            <w:r w:rsidRPr="00852515">
              <w:rPr>
                <w:rStyle w:val="Hyperlink"/>
                <w:rFonts w:ascii="Calibri Light" w:eastAsia="Calibri Light" w:hAnsi="Calibri Light" w:cs="Times New Roman"/>
                <w:b/>
                <w:bCs/>
                <w:noProof/>
                <w:lang w:val="fr-FR"/>
              </w:rPr>
              <w:t>Partie 1 octobre 2022</w:t>
            </w:r>
            <w:r>
              <w:rPr>
                <w:noProof/>
                <w:webHidden/>
              </w:rPr>
              <w:tab/>
            </w:r>
            <w:r>
              <w:rPr>
                <w:noProof/>
                <w:webHidden/>
              </w:rPr>
              <w:fldChar w:fldCharType="begin"/>
            </w:r>
            <w:r>
              <w:rPr>
                <w:noProof/>
                <w:webHidden/>
              </w:rPr>
              <w:instrText xml:space="preserve"> PAGEREF _Toc121404945 \h </w:instrText>
            </w:r>
            <w:r>
              <w:rPr>
                <w:noProof/>
                <w:webHidden/>
              </w:rPr>
            </w:r>
            <w:r>
              <w:rPr>
                <w:noProof/>
                <w:webHidden/>
              </w:rPr>
              <w:fldChar w:fldCharType="separate"/>
            </w:r>
            <w:r>
              <w:rPr>
                <w:noProof/>
                <w:webHidden/>
              </w:rPr>
              <w:t>2</w:t>
            </w:r>
            <w:r>
              <w:rPr>
                <w:noProof/>
                <w:webHidden/>
              </w:rPr>
              <w:fldChar w:fldCharType="end"/>
            </w:r>
          </w:hyperlink>
        </w:p>
        <w:p w:rsidR="00B847F5" w:rsidRDefault="00B847F5">
          <w:pPr>
            <w:pStyle w:val="TOC2"/>
            <w:tabs>
              <w:tab w:val="right" w:leader="dot" w:pos="10502"/>
            </w:tabs>
            <w:rPr>
              <w:rFonts w:eastAsiaTheme="minorEastAsia"/>
              <w:noProof/>
            </w:rPr>
          </w:pPr>
          <w:hyperlink w:anchor="_Toc121404946" w:history="1">
            <w:r w:rsidRPr="00852515">
              <w:rPr>
                <w:rStyle w:val="Hyperlink"/>
                <w:rFonts w:eastAsia="Teva Sans"/>
                <w:b/>
                <w:noProof/>
                <w:lang w:val="fr-FR"/>
              </w:rPr>
              <w:t>Fonctionnalité du système</w:t>
            </w:r>
            <w:r>
              <w:rPr>
                <w:noProof/>
                <w:webHidden/>
              </w:rPr>
              <w:tab/>
            </w:r>
            <w:r>
              <w:rPr>
                <w:noProof/>
                <w:webHidden/>
              </w:rPr>
              <w:fldChar w:fldCharType="begin"/>
            </w:r>
            <w:r>
              <w:rPr>
                <w:noProof/>
                <w:webHidden/>
              </w:rPr>
              <w:instrText xml:space="preserve"> PAGEREF _Toc121404946 \h </w:instrText>
            </w:r>
            <w:r>
              <w:rPr>
                <w:noProof/>
                <w:webHidden/>
              </w:rPr>
            </w:r>
            <w:r>
              <w:rPr>
                <w:noProof/>
                <w:webHidden/>
              </w:rPr>
              <w:fldChar w:fldCharType="separate"/>
            </w:r>
            <w:r>
              <w:rPr>
                <w:noProof/>
                <w:webHidden/>
              </w:rPr>
              <w:t>2</w:t>
            </w:r>
            <w:r>
              <w:rPr>
                <w:noProof/>
                <w:webHidden/>
              </w:rPr>
              <w:fldChar w:fldCharType="end"/>
            </w:r>
          </w:hyperlink>
        </w:p>
        <w:p w:rsidR="00B847F5" w:rsidRDefault="00B847F5">
          <w:pPr>
            <w:pStyle w:val="TOC2"/>
            <w:tabs>
              <w:tab w:val="right" w:leader="dot" w:pos="10502"/>
            </w:tabs>
            <w:rPr>
              <w:rFonts w:eastAsiaTheme="minorEastAsia"/>
              <w:noProof/>
            </w:rPr>
          </w:pPr>
          <w:hyperlink w:anchor="_Toc121404947" w:history="1">
            <w:r w:rsidRPr="00852515">
              <w:rPr>
                <w:rStyle w:val="Hyperlink"/>
                <w:rFonts w:eastAsia="Teva Sans"/>
                <w:b/>
                <w:noProof/>
                <w:lang w:val="fr-FR"/>
              </w:rPr>
              <w:t>Exigences de dépôt</w:t>
            </w:r>
            <w:r>
              <w:rPr>
                <w:noProof/>
                <w:webHidden/>
              </w:rPr>
              <w:tab/>
            </w:r>
            <w:r>
              <w:rPr>
                <w:noProof/>
                <w:webHidden/>
              </w:rPr>
              <w:fldChar w:fldCharType="begin"/>
            </w:r>
            <w:r>
              <w:rPr>
                <w:noProof/>
                <w:webHidden/>
              </w:rPr>
              <w:instrText xml:space="preserve"> PAGEREF _Toc121404947 \h </w:instrText>
            </w:r>
            <w:r>
              <w:rPr>
                <w:noProof/>
                <w:webHidden/>
              </w:rPr>
            </w:r>
            <w:r>
              <w:rPr>
                <w:noProof/>
                <w:webHidden/>
              </w:rPr>
              <w:fldChar w:fldCharType="separate"/>
            </w:r>
            <w:r>
              <w:rPr>
                <w:noProof/>
                <w:webHidden/>
              </w:rPr>
              <w:t>2</w:t>
            </w:r>
            <w:r>
              <w:rPr>
                <w:noProof/>
                <w:webHidden/>
              </w:rPr>
              <w:fldChar w:fldCharType="end"/>
            </w:r>
          </w:hyperlink>
        </w:p>
        <w:p w:rsidR="00B847F5" w:rsidRDefault="00B847F5">
          <w:pPr>
            <w:pStyle w:val="TOC2"/>
            <w:tabs>
              <w:tab w:val="right" w:leader="dot" w:pos="10502"/>
            </w:tabs>
            <w:rPr>
              <w:rFonts w:eastAsiaTheme="minorEastAsia"/>
              <w:noProof/>
            </w:rPr>
          </w:pPr>
          <w:hyperlink w:anchor="_Toc121404948" w:history="1">
            <w:r w:rsidRPr="00852515">
              <w:rPr>
                <w:rStyle w:val="Hyperlink"/>
                <w:rFonts w:eastAsia="Teva Sans"/>
                <w:b/>
                <w:noProof/>
                <w:lang w:val="fr-FR"/>
              </w:rPr>
              <w:t>Contrôles du système</w:t>
            </w:r>
            <w:r>
              <w:rPr>
                <w:noProof/>
                <w:webHidden/>
              </w:rPr>
              <w:tab/>
            </w:r>
            <w:r>
              <w:rPr>
                <w:noProof/>
                <w:webHidden/>
              </w:rPr>
              <w:fldChar w:fldCharType="begin"/>
            </w:r>
            <w:r>
              <w:rPr>
                <w:noProof/>
                <w:webHidden/>
              </w:rPr>
              <w:instrText xml:space="preserve"> PAGEREF _Toc121404948 \h </w:instrText>
            </w:r>
            <w:r>
              <w:rPr>
                <w:noProof/>
                <w:webHidden/>
              </w:rPr>
            </w:r>
            <w:r>
              <w:rPr>
                <w:noProof/>
                <w:webHidden/>
              </w:rPr>
              <w:fldChar w:fldCharType="separate"/>
            </w:r>
            <w:r>
              <w:rPr>
                <w:noProof/>
                <w:webHidden/>
              </w:rPr>
              <w:t>3</w:t>
            </w:r>
            <w:r>
              <w:rPr>
                <w:noProof/>
                <w:webHidden/>
              </w:rPr>
              <w:fldChar w:fldCharType="end"/>
            </w:r>
          </w:hyperlink>
        </w:p>
        <w:p w:rsidR="00B847F5" w:rsidRDefault="00B847F5">
          <w:pPr>
            <w:pStyle w:val="TOC1"/>
            <w:tabs>
              <w:tab w:val="right" w:leader="dot" w:pos="10502"/>
            </w:tabs>
            <w:rPr>
              <w:rFonts w:eastAsiaTheme="minorEastAsia"/>
              <w:noProof/>
            </w:rPr>
          </w:pPr>
          <w:hyperlink w:anchor="_Toc121404949" w:history="1">
            <w:r w:rsidRPr="00852515">
              <w:rPr>
                <w:rStyle w:val="Hyperlink"/>
                <w:rFonts w:ascii="Calibri Light" w:eastAsia="Calibri Light" w:hAnsi="Calibri Light" w:cs="Times New Roman"/>
                <w:b/>
                <w:bCs/>
                <w:noProof/>
                <w:lang w:val="fr-FR"/>
              </w:rPr>
              <w:t>Partie 2 novembre 2022</w:t>
            </w:r>
            <w:r>
              <w:rPr>
                <w:noProof/>
                <w:webHidden/>
              </w:rPr>
              <w:tab/>
            </w:r>
            <w:r>
              <w:rPr>
                <w:noProof/>
                <w:webHidden/>
              </w:rPr>
              <w:fldChar w:fldCharType="begin"/>
            </w:r>
            <w:r>
              <w:rPr>
                <w:noProof/>
                <w:webHidden/>
              </w:rPr>
              <w:instrText xml:space="preserve"> PAGEREF _Toc121404949 \h </w:instrText>
            </w:r>
            <w:r>
              <w:rPr>
                <w:noProof/>
                <w:webHidden/>
              </w:rPr>
            </w:r>
            <w:r>
              <w:rPr>
                <w:noProof/>
                <w:webHidden/>
              </w:rPr>
              <w:fldChar w:fldCharType="separate"/>
            </w:r>
            <w:r>
              <w:rPr>
                <w:noProof/>
                <w:webHidden/>
              </w:rPr>
              <w:t>4</w:t>
            </w:r>
            <w:r>
              <w:rPr>
                <w:noProof/>
                <w:webHidden/>
              </w:rPr>
              <w:fldChar w:fldCharType="end"/>
            </w:r>
          </w:hyperlink>
        </w:p>
        <w:p w:rsidR="00B847F5" w:rsidRDefault="00B847F5">
          <w:pPr>
            <w:pStyle w:val="TOC2"/>
            <w:tabs>
              <w:tab w:val="right" w:leader="dot" w:pos="10502"/>
            </w:tabs>
            <w:rPr>
              <w:rFonts w:eastAsiaTheme="minorEastAsia"/>
              <w:noProof/>
            </w:rPr>
          </w:pPr>
          <w:hyperlink w:anchor="_Toc121404950" w:history="1">
            <w:r w:rsidRPr="00852515">
              <w:rPr>
                <w:rStyle w:val="Hyperlink"/>
                <w:rFonts w:ascii="Calibri Light" w:eastAsia="Calibri Light" w:hAnsi="Calibri Light" w:cs="Times New Roman"/>
                <w:b/>
                <w:bCs/>
                <w:noProof/>
                <w:lang w:val="fr-FR"/>
              </w:rPr>
              <w:t>Vidéos de formation EngageMate</w:t>
            </w:r>
            <w:r>
              <w:rPr>
                <w:noProof/>
                <w:webHidden/>
              </w:rPr>
              <w:tab/>
            </w:r>
            <w:r>
              <w:rPr>
                <w:noProof/>
                <w:webHidden/>
              </w:rPr>
              <w:fldChar w:fldCharType="begin"/>
            </w:r>
            <w:r>
              <w:rPr>
                <w:noProof/>
                <w:webHidden/>
              </w:rPr>
              <w:instrText xml:space="preserve"> PAGEREF _Toc121404950 \h </w:instrText>
            </w:r>
            <w:r>
              <w:rPr>
                <w:noProof/>
                <w:webHidden/>
              </w:rPr>
            </w:r>
            <w:r>
              <w:rPr>
                <w:noProof/>
                <w:webHidden/>
              </w:rPr>
              <w:fldChar w:fldCharType="separate"/>
            </w:r>
            <w:r>
              <w:rPr>
                <w:noProof/>
                <w:webHidden/>
              </w:rPr>
              <w:t>4</w:t>
            </w:r>
            <w:r>
              <w:rPr>
                <w:noProof/>
                <w:webHidden/>
              </w:rPr>
              <w:fldChar w:fldCharType="end"/>
            </w:r>
          </w:hyperlink>
          <w:bookmarkStart w:id="0" w:name="_GoBack"/>
          <w:bookmarkEnd w:id="0"/>
        </w:p>
        <w:p w:rsidR="00B847F5" w:rsidRDefault="00B847F5">
          <w:pPr>
            <w:pStyle w:val="TOC2"/>
            <w:tabs>
              <w:tab w:val="right" w:leader="dot" w:pos="10502"/>
            </w:tabs>
            <w:rPr>
              <w:rFonts w:eastAsiaTheme="minorEastAsia"/>
              <w:noProof/>
            </w:rPr>
          </w:pPr>
          <w:hyperlink w:anchor="_Toc121404951" w:history="1">
            <w:r w:rsidRPr="00852515">
              <w:rPr>
                <w:rStyle w:val="Hyperlink"/>
                <w:rFonts w:ascii="Calibri Light" w:eastAsia="Calibri Light" w:hAnsi="Calibri Light" w:cs="Times New Roman"/>
                <w:b/>
                <w:bCs/>
                <w:noProof/>
                <w:lang w:val="fr-FR"/>
              </w:rPr>
              <w:t>Fonctionnalité du système</w:t>
            </w:r>
            <w:r>
              <w:rPr>
                <w:noProof/>
                <w:webHidden/>
              </w:rPr>
              <w:tab/>
            </w:r>
            <w:r>
              <w:rPr>
                <w:noProof/>
                <w:webHidden/>
              </w:rPr>
              <w:fldChar w:fldCharType="begin"/>
            </w:r>
            <w:r>
              <w:rPr>
                <w:noProof/>
                <w:webHidden/>
              </w:rPr>
              <w:instrText xml:space="preserve"> PAGEREF _Toc121404951 \h </w:instrText>
            </w:r>
            <w:r>
              <w:rPr>
                <w:noProof/>
                <w:webHidden/>
              </w:rPr>
            </w:r>
            <w:r>
              <w:rPr>
                <w:noProof/>
                <w:webHidden/>
              </w:rPr>
              <w:fldChar w:fldCharType="separate"/>
            </w:r>
            <w:r>
              <w:rPr>
                <w:noProof/>
                <w:webHidden/>
              </w:rPr>
              <w:t>4</w:t>
            </w:r>
            <w:r>
              <w:rPr>
                <w:noProof/>
                <w:webHidden/>
              </w:rPr>
              <w:fldChar w:fldCharType="end"/>
            </w:r>
          </w:hyperlink>
        </w:p>
        <w:p w:rsidR="00B847F5" w:rsidRDefault="00B847F5">
          <w:pPr>
            <w:pStyle w:val="TOC2"/>
            <w:tabs>
              <w:tab w:val="right" w:leader="dot" w:pos="10502"/>
            </w:tabs>
            <w:rPr>
              <w:rFonts w:eastAsiaTheme="minorEastAsia"/>
              <w:noProof/>
            </w:rPr>
          </w:pPr>
          <w:hyperlink w:anchor="_Toc121404952" w:history="1">
            <w:r w:rsidRPr="00852515">
              <w:rPr>
                <w:rStyle w:val="Hyperlink"/>
                <w:rFonts w:ascii="Calibri Light" w:eastAsia="Calibri Light" w:hAnsi="Calibri Light" w:cs="Times New Roman"/>
                <w:b/>
                <w:bCs/>
                <w:noProof/>
                <w:lang w:val="fr-FR"/>
              </w:rPr>
              <w:t>Exigences de dépôt</w:t>
            </w:r>
            <w:r>
              <w:rPr>
                <w:noProof/>
                <w:webHidden/>
              </w:rPr>
              <w:tab/>
            </w:r>
            <w:r>
              <w:rPr>
                <w:noProof/>
                <w:webHidden/>
              </w:rPr>
              <w:fldChar w:fldCharType="begin"/>
            </w:r>
            <w:r>
              <w:rPr>
                <w:noProof/>
                <w:webHidden/>
              </w:rPr>
              <w:instrText xml:space="preserve"> PAGEREF _Toc121404952 \h </w:instrText>
            </w:r>
            <w:r>
              <w:rPr>
                <w:noProof/>
                <w:webHidden/>
              </w:rPr>
            </w:r>
            <w:r>
              <w:rPr>
                <w:noProof/>
                <w:webHidden/>
              </w:rPr>
              <w:fldChar w:fldCharType="separate"/>
            </w:r>
            <w:r>
              <w:rPr>
                <w:noProof/>
                <w:webHidden/>
              </w:rPr>
              <w:t>5</w:t>
            </w:r>
            <w:r>
              <w:rPr>
                <w:noProof/>
                <w:webHidden/>
              </w:rPr>
              <w:fldChar w:fldCharType="end"/>
            </w:r>
          </w:hyperlink>
        </w:p>
        <w:p w:rsidR="00B847F5" w:rsidRDefault="00B847F5">
          <w:pPr>
            <w:pStyle w:val="TOC2"/>
            <w:tabs>
              <w:tab w:val="right" w:leader="dot" w:pos="10502"/>
            </w:tabs>
            <w:rPr>
              <w:rFonts w:eastAsiaTheme="minorEastAsia"/>
              <w:noProof/>
            </w:rPr>
          </w:pPr>
          <w:hyperlink w:anchor="_Toc121404953" w:history="1">
            <w:r w:rsidRPr="00852515">
              <w:rPr>
                <w:rStyle w:val="Hyperlink"/>
                <w:rFonts w:ascii="Calibri Light" w:eastAsia="Calibri Light" w:hAnsi="Calibri Light" w:cs="Times New Roman"/>
                <w:b/>
                <w:bCs/>
                <w:noProof/>
                <w:lang w:val="fr-FR"/>
              </w:rPr>
              <w:t>Contrôles du système</w:t>
            </w:r>
            <w:r>
              <w:rPr>
                <w:noProof/>
                <w:webHidden/>
              </w:rPr>
              <w:tab/>
            </w:r>
            <w:r>
              <w:rPr>
                <w:noProof/>
                <w:webHidden/>
              </w:rPr>
              <w:fldChar w:fldCharType="begin"/>
            </w:r>
            <w:r>
              <w:rPr>
                <w:noProof/>
                <w:webHidden/>
              </w:rPr>
              <w:instrText xml:space="preserve"> PAGEREF _Toc121404953 \h </w:instrText>
            </w:r>
            <w:r>
              <w:rPr>
                <w:noProof/>
                <w:webHidden/>
              </w:rPr>
            </w:r>
            <w:r>
              <w:rPr>
                <w:noProof/>
                <w:webHidden/>
              </w:rPr>
              <w:fldChar w:fldCharType="separate"/>
            </w:r>
            <w:r>
              <w:rPr>
                <w:noProof/>
                <w:webHidden/>
              </w:rPr>
              <w:t>7</w:t>
            </w:r>
            <w:r>
              <w:rPr>
                <w:noProof/>
                <w:webHidden/>
              </w:rPr>
              <w:fldChar w:fldCharType="end"/>
            </w:r>
          </w:hyperlink>
        </w:p>
        <w:p w:rsidR="0080579D" w:rsidRDefault="00B847F5">
          <w:r>
            <w:rPr>
              <w:b/>
              <w:bCs/>
              <w:noProof/>
            </w:rPr>
            <w:fldChar w:fldCharType="end"/>
          </w:r>
        </w:p>
      </w:sdtContent>
    </w:sdt>
    <w:p w:rsidR="0080579D" w:rsidRDefault="00B847F5">
      <w:pPr>
        <w:rPr>
          <w:b/>
        </w:rPr>
      </w:pPr>
      <w:r>
        <w:rPr>
          <w:b/>
        </w:rPr>
        <w:br w:type="page"/>
      </w:r>
    </w:p>
    <w:p w:rsidR="0080579D" w:rsidRDefault="00B847F5">
      <w:pPr>
        <w:pStyle w:val="Heading1"/>
        <w:rPr>
          <w:rFonts w:ascii="Calibri Light" w:eastAsia="Calibri Light" w:hAnsi="Calibri Light" w:cs="Times New Roman"/>
          <w:b/>
          <w:bCs/>
          <w:color w:val="2E74B5"/>
          <w:sz w:val="36"/>
          <w:szCs w:val="36"/>
          <w:lang w:val="fr-FR"/>
        </w:rPr>
      </w:pPr>
      <w:bookmarkStart w:id="1" w:name="_Toc121404945"/>
      <w:r>
        <w:rPr>
          <w:rFonts w:ascii="Calibri Light" w:eastAsia="Calibri Light" w:hAnsi="Calibri Light" w:cs="Times New Roman"/>
          <w:b/>
          <w:bCs/>
          <w:color w:val="2E74B5"/>
          <w:sz w:val="36"/>
          <w:szCs w:val="36"/>
          <w:lang w:val="fr-FR"/>
        </w:rPr>
        <w:lastRenderedPageBreak/>
        <w:t>Partie 1 octobre 2022</w:t>
      </w:r>
      <w:bookmarkEnd w:id="1"/>
    </w:p>
    <w:p w:rsidR="00B847F5" w:rsidRPr="00176194" w:rsidRDefault="00B847F5" w:rsidP="00B847F5">
      <w:pPr>
        <w:pStyle w:val="Heading2"/>
        <w:rPr>
          <w:b/>
          <w:lang w:val="fr-FR"/>
        </w:rPr>
      </w:pPr>
      <w:bookmarkStart w:id="2" w:name="_Toc119920698"/>
      <w:bookmarkStart w:id="3" w:name="_Toc121404946"/>
      <w:r w:rsidRPr="00176194">
        <w:rPr>
          <w:rFonts w:eastAsia="Teva Sans"/>
          <w:b/>
          <w:lang w:val="fr-FR"/>
        </w:rPr>
        <w:t>Fonctionnalité du système</w:t>
      </w:r>
      <w:bookmarkEnd w:id="2"/>
      <w:bookmarkEnd w:id="3"/>
      <w:r w:rsidRPr="00176194">
        <w:rPr>
          <w:rFonts w:eastAsia="Teva Sans"/>
          <w:b/>
          <w:lang w:val="fr-FR"/>
        </w:rPr>
        <w:t xml:space="preserve"> </w:t>
      </w:r>
    </w:p>
    <w:p w:rsidR="00B847F5" w:rsidRPr="00176194" w:rsidRDefault="00B847F5" w:rsidP="00B847F5">
      <w:pPr>
        <w:pStyle w:val="ListParagraph"/>
        <w:numPr>
          <w:ilvl w:val="0"/>
          <w:numId w:val="1"/>
        </w:numPr>
        <w:spacing w:after="20" w:line="240" w:lineRule="auto"/>
        <w:ind w:left="547"/>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Les utilisateurs peuvent avoir un double rôle (Demandeur et Réviseur). Les rôles sont choisis lors de la connexion à l'aide de l'URL d'EngageMate.</w:t>
      </w:r>
    </w:p>
    <w:p w:rsidR="00B847F5" w:rsidRPr="00176194" w:rsidRDefault="00B847F5" w:rsidP="00B847F5">
      <w:pPr>
        <w:spacing w:after="20" w:line="240" w:lineRule="auto"/>
        <w:ind w:left="187"/>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7"/>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Pour changer de rôle d'utilisateur, vous devez vous déconnecter du rôle actuel et sélectionner l'autre rôle. </w:t>
      </w:r>
    </w:p>
    <w:p w:rsidR="00B847F5" w:rsidRPr="00176194" w:rsidRDefault="00B847F5" w:rsidP="00B847F5">
      <w:pPr>
        <w:spacing w:after="20" w:line="240" w:lineRule="auto"/>
        <w:ind w:left="187"/>
        <w:rPr>
          <w:rFonts w:ascii="Teva Sans Light" w:hAnsi="Teva Sans Light"/>
          <w:sz w:val="24"/>
          <w:szCs w:val="24"/>
        </w:rPr>
      </w:pPr>
    </w:p>
    <w:p w:rsidR="00B847F5" w:rsidRPr="00176194" w:rsidRDefault="00B847F5" w:rsidP="00B847F5">
      <w:pPr>
        <w:pStyle w:val="ListParagraph"/>
        <w:numPr>
          <w:ilvl w:val="0"/>
          <w:numId w:val="1"/>
        </w:numPr>
        <w:spacing w:after="20" w:line="240" w:lineRule="auto"/>
        <w:ind w:left="547"/>
        <w:contextualSpacing w:val="0"/>
        <w:rPr>
          <w:rFonts w:ascii="Teva Sans Light" w:hAnsi="Teva Sans Light"/>
          <w:sz w:val="24"/>
          <w:szCs w:val="24"/>
        </w:rPr>
      </w:pPr>
      <w:r w:rsidRPr="00176194">
        <w:rPr>
          <w:rFonts w:ascii="Teva Sans Light" w:eastAsia="Teva Sans" w:hAnsi="Teva Sans Light" w:cs="Arial"/>
          <w:sz w:val="24"/>
          <w:szCs w:val="24"/>
          <w:lang w:val="fr-FR"/>
        </w:rPr>
        <w:t xml:space="preserve">Pour afficher le profil du rôle actuel (comment vous êtes connecté), cliquez sur l'icône de menu au format « hamburger ». Vous pouvez également vous déconnecter dans cette zone. </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La langue peut être modifiée dans le coin supérieur droit de la page (icône</w:t>
      </w:r>
      <w:r>
        <w:rPr>
          <w:rFonts w:ascii="Teva Sans Light" w:eastAsia="Teva Sans" w:hAnsi="Teva Sans Light" w:cs="Arial"/>
          <w:sz w:val="24"/>
          <w:szCs w:val="24"/>
          <w:lang w:val="fr-FR"/>
        </w:rPr>
        <w:t xml:space="preserve"> </w:t>
      </w:r>
      <w:r w:rsidRPr="00176194">
        <w:rPr>
          <w:rFonts w:ascii="Teva Sans Light" w:eastAsia="Teva Sans" w:hAnsi="Teva Sans Light" w:cs="Arial"/>
          <w:sz w:val="24"/>
          <w:szCs w:val="24"/>
          <w:lang w:val="fr-FR"/>
        </w:rPr>
        <w:t>à côté de vos initiales)</w:t>
      </w:r>
    </w:p>
    <w:p w:rsidR="00B847F5" w:rsidRPr="00176194" w:rsidRDefault="00B847F5" w:rsidP="00B847F5">
      <w:pPr>
        <w:spacing w:after="20" w:line="240" w:lineRule="auto"/>
        <w:ind w:left="180"/>
        <w:rPr>
          <w:rFonts w:ascii="Teva Sans Light" w:hAnsi="Teva Sans Light"/>
          <w:sz w:val="24"/>
          <w:szCs w:val="24"/>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rPr>
      </w:pPr>
      <w:r w:rsidRPr="00176194">
        <w:rPr>
          <w:rFonts w:ascii="Teva Sans Light" w:eastAsia="Teva Sans" w:hAnsi="Teva Sans Light" w:cs="Arial"/>
          <w:sz w:val="24"/>
          <w:szCs w:val="24"/>
          <w:lang w:val="fr-FR"/>
        </w:rPr>
        <w:t xml:space="preserve">Pour dupliquer une activité, cliquez sur le bouton </w:t>
      </w:r>
      <w:r w:rsidRPr="00176194">
        <w:rPr>
          <w:rFonts w:ascii="Teva Sans Light" w:eastAsia="Teva Sans" w:hAnsi="Teva Sans Light" w:cs="Arial"/>
          <w:i/>
          <w:iCs/>
          <w:sz w:val="24"/>
          <w:szCs w:val="24"/>
          <w:u w:val="single"/>
          <w:lang w:val="fr-FR"/>
        </w:rPr>
        <w:t>Copy</w:t>
      </w:r>
      <w:r w:rsidRPr="00176194">
        <w:rPr>
          <w:rFonts w:ascii="Teva Sans Light" w:eastAsia="Teva Sans" w:hAnsi="Teva Sans Light" w:cs="Arial"/>
          <w:sz w:val="24"/>
          <w:szCs w:val="24"/>
          <w:lang w:val="fr-FR"/>
        </w:rPr>
        <w:t xml:space="preserve"> (Copier). Cela peut faire gagner du temps à l'utilisateur.</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Le système permet aux utilisateurs d'imprimer les dépôts d'activités approuvés dans un fichier PDF. (Note : Pour les dépôts qui n'ont pas encore été approuvés, l'option « </w:t>
      </w:r>
      <w:proofErr w:type="spellStart"/>
      <w:r w:rsidRPr="00176194">
        <w:rPr>
          <w:rFonts w:ascii="Teva Sans Light" w:eastAsia="Teva Sans" w:hAnsi="Teva Sans Light" w:cs="Arial"/>
          <w:sz w:val="24"/>
          <w:szCs w:val="24"/>
          <w:lang w:val="fr-FR"/>
        </w:rPr>
        <w:t>Print</w:t>
      </w:r>
      <w:proofErr w:type="spellEnd"/>
      <w:r w:rsidRPr="00176194">
        <w:rPr>
          <w:rFonts w:ascii="Teva Sans Light" w:eastAsia="Teva Sans" w:hAnsi="Teva Sans Light" w:cs="Arial"/>
          <w:sz w:val="24"/>
          <w:szCs w:val="24"/>
          <w:lang w:val="fr-FR"/>
        </w:rPr>
        <w:t xml:space="preserve"> to PDF » [Imprimer en PDF] n'est pas visible). Ce bouton se trouve dans l'onglet </w:t>
      </w:r>
      <w:r w:rsidRPr="00176194">
        <w:rPr>
          <w:rFonts w:ascii="Teva Sans Light" w:eastAsia="Teva Sans" w:hAnsi="Teva Sans Light" w:cs="Arial"/>
          <w:i/>
          <w:iCs/>
          <w:sz w:val="24"/>
          <w:szCs w:val="24"/>
          <w:lang w:val="fr-FR"/>
        </w:rPr>
        <w:t xml:space="preserve">Audit </w:t>
      </w:r>
      <w:proofErr w:type="spellStart"/>
      <w:r w:rsidRPr="00176194">
        <w:rPr>
          <w:rFonts w:ascii="Teva Sans Light" w:eastAsia="Teva Sans" w:hAnsi="Teva Sans Light" w:cs="Arial"/>
          <w:i/>
          <w:iCs/>
          <w:sz w:val="24"/>
          <w:szCs w:val="24"/>
          <w:lang w:val="fr-FR"/>
        </w:rPr>
        <w:t>Trail</w:t>
      </w:r>
      <w:proofErr w:type="spellEnd"/>
      <w:r w:rsidRPr="00176194">
        <w:rPr>
          <w:rFonts w:ascii="Teva Sans Light" w:eastAsia="Teva Sans" w:hAnsi="Teva Sans Light" w:cs="Arial"/>
          <w:sz w:val="24"/>
          <w:szCs w:val="24"/>
          <w:lang w:val="fr-FR"/>
        </w:rPr>
        <w:t xml:space="preserve"> (Piste d'audit).</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La taille maximale des documents téléchargés est de 15 Mo.</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Passez à la page suivante en bas à droite de la page de la grille (« Page </w:t>
      </w:r>
      <w:r w:rsidRPr="00176194">
        <w:rPr>
          <w:rFonts w:ascii="Teva Sans Light" w:eastAsia="Teva Sans" w:hAnsi="Teva Sans Light" w:cs="Arial"/>
          <w:sz w:val="24"/>
          <w:szCs w:val="24"/>
          <w:u w:val="single"/>
          <w:lang w:val="fr-FR"/>
        </w:rPr>
        <w:t>1</w:t>
      </w:r>
      <w:r w:rsidRPr="00176194">
        <w:rPr>
          <w:rFonts w:ascii="Teva Sans Light" w:eastAsia="Teva Sans" w:hAnsi="Teva Sans Light" w:cs="Arial"/>
          <w:sz w:val="24"/>
          <w:szCs w:val="24"/>
          <w:lang w:val="fr-FR"/>
        </w:rPr>
        <w:t xml:space="preserve"> sur Page </w:t>
      </w:r>
      <w:r w:rsidRPr="00176194">
        <w:rPr>
          <w:rFonts w:ascii="Teva Sans Light" w:eastAsia="Teva Sans" w:hAnsi="Teva Sans Light" w:cs="Arial"/>
          <w:sz w:val="24"/>
          <w:szCs w:val="24"/>
          <w:u w:val="single"/>
          <w:lang w:val="fr-FR"/>
        </w:rPr>
        <w:t>3</w:t>
      </w:r>
      <w:r w:rsidRPr="00176194">
        <w:rPr>
          <w:rFonts w:ascii="Teva Sans Light" w:eastAsia="Teva Sans" w:hAnsi="Teva Sans Light" w:cs="Arial"/>
          <w:sz w:val="24"/>
          <w:szCs w:val="24"/>
          <w:lang w:val="fr-FR"/>
        </w:rPr>
        <w:t> »).</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Affichez le niveau actuel, la fourchette de FMV (juste valeur marchande) et les CV des fournisseurs de services dans la fiche client d'EngageMate sur le panneau de navigation de gauche. </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1"/>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Sur la mosaïque de votre page d’accueil, filtrez vos listes d’activités. Pour voir la liste complète de vos activités, cliquez sur Activity (Activité) dans le panneau de navigation de gauche. </w:t>
      </w:r>
    </w:p>
    <w:p w:rsidR="00B847F5" w:rsidRDefault="00B847F5" w:rsidP="00B847F5">
      <w:pPr>
        <w:pStyle w:val="Heading2"/>
        <w:rPr>
          <w:rFonts w:eastAsia="Teva Sans"/>
          <w:b/>
          <w:lang w:val="fr-FR"/>
        </w:rPr>
      </w:pPr>
    </w:p>
    <w:p w:rsidR="00B847F5" w:rsidRPr="00176194" w:rsidRDefault="00B847F5" w:rsidP="00B847F5">
      <w:pPr>
        <w:pStyle w:val="Heading2"/>
        <w:rPr>
          <w:b/>
        </w:rPr>
      </w:pPr>
      <w:bookmarkStart w:id="4" w:name="_Toc119920699"/>
      <w:bookmarkStart w:id="5" w:name="_Toc121404947"/>
      <w:r w:rsidRPr="00176194">
        <w:rPr>
          <w:rFonts w:eastAsia="Teva Sans"/>
          <w:b/>
          <w:lang w:val="fr-FR"/>
        </w:rPr>
        <w:t>Exigences de dépôt</w:t>
      </w:r>
      <w:bookmarkEnd w:id="4"/>
      <w:bookmarkEnd w:id="5"/>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Les CV des fournisseurs de services sont téléchargés une seule fois dans le profil du fournisseur de services. Toutefois, si un </w:t>
      </w:r>
      <w:r w:rsidRPr="00176194">
        <w:rPr>
          <w:rFonts w:ascii="Teva Sans Light" w:eastAsia="Teva Sans" w:hAnsi="Teva Sans Light" w:cs="Arial"/>
          <w:i/>
          <w:iCs/>
          <w:sz w:val="24"/>
          <w:szCs w:val="24"/>
          <w:u w:val="single"/>
          <w:lang w:val="fr-FR"/>
        </w:rPr>
        <w:t>changement de niveau</w:t>
      </w:r>
      <w:r w:rsidRPr="00176194">
        <w:rPr>
          <w:rFonts w:ascii="Teva Sans Light" w:eastAsia="Teva Sans" w:hAnsi="Teva Sans Light" w:cs="Arial"/>
          <w:sz w:val="24"/>
          <w:szCs w:val="24"/>
          <w:lang w:val="fr-FR"/>
        </w:rPr>
        <w:t xml:space="preserve"> est demandé, un CV actualisé doit être téléchargé. </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Les listes déroulantes indiquant le </w:t>
      </w:r>
      <w:r w:rsidRPr="00176194">
        <w:rPr>
          <w:rFonts w:ascii="Teva Sans Light" w:eastAsia="Teva Sans" w:hAnsi="Teva Sans Light" w:cs="Arial"/>
          <w:i/>
          <w:iCs/>
          <w:sz w:val="24"/>
          <w:szCs w:val="24"/>
          <w:u w:val="single"/>
          <w:lang w:val="fr-FR"/>
        </w:rPr>
        <w:t>type de document</w:t>
      </w:r>
      <w:r w:rsidRPr="00176194">
        <w:rPr>
          <w:rFonts w:ascii="Teva Sans Light" w:eastAsia="Teva Sans" w:hAnsi="Teva Sans Light" w:cs="Arial"/>
          <w:sz w:val="24"/>
          <w:szCs w:val="24"/>
          <w:lang w:val="fr-FR"/>
        </w:rPr>
        <w:t xml:space="preserve"> changent en fonction du type d'activité sélectionné ou de l'étape en cours dans le flux de révision.</w:t>
      </w:r>
    </w:p>
    <w:p w:rsidR="00B847F5" w:rsidRPr="00176194" w:rsidRDefault="00B847F5" w:rsidP="00B847F5">
      <w:pPr>
        <w:spacing w:after="20" w:line="240" w:lineRule="auto"/>
        <w:ind w:left="180"/>
        <w:rPr>
          <w:rFonts w:ascii="Teva Sans Light" w:hAnsi="Teva Sans Light" w:cstheme="minorHAnsi"/>
          <w:sz w:val="24"/>
          <w:szCs w:val="24"/>
          <w:lang w:val="fr-FR"/>
        </w:rPr>
      </w:pPr>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cstheme="minorHAnsi"/>
          <w:sz w:val="24"/>
          <w:szCs w:val="24"/>
          <w:lang w:val="fr-FR"/>
        </w:rPr>
      </w:pPr>
      <w:r w:rsidRPr="00176194">
        <w:rPr>
          <w:rFonts w:ascii="Teva Sans Light" w:eastAsia="Teva Sans" w:hAnsi="Teva Sans Light" w:cs="Calibri"/>
          <w:sz w:val="24"/>
          <w:szCs w:val="24"/>
          <w:lang w:val="fr-FR"/>
        </w:rPr>
        <w:t>Les Professionnels de santé sont toujours nommés en tant qu'individus, ils ne peuvent pas être nommés en utilisant le nom d'une organisation (Association de professionnels de santé).</w:t>
      </w:r>
    </w:p>
    <w:p w:rsidR="00B847F5" w:rsidRPr="00176194" w:rsidRDefault="00B847F5" w:rsidP="00B847F5">
      <w:pPr>
        <w:spacing w:after="20" w:line="240" w:lineRule="auto"/>
        <w:ind w:left="180"/>
        <w:rPr>
          <w:rFonts w:ascii="Teva Sans Light" w:hAnsi="Teva Sans Light" w:cstheme="minorHAnsi"/>
          <w:sz w:val="24"/>
          <w:szCs w:val="24"/>
          <w:lang w:val="fr-FR"/>
        </w:rPr>
      </w:pPr>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cstheme="minorHAnsi"/>
          <w:sz w:val="24"/>
          <w:szCs w:val="24"/>
          <w:lang w:val="fr-FR"/>
        </w:rPr>
      </w:pPr>
      <w:r w:rsidRPr="00176194">
        <w:rPr>
          <w:rFonts w:ascii="Teva Sans Light" w:eastAsia="Teva Sans" w:hAnsi="Teva Sans Light" w:cs="Calibri"/>
          <w:sz w:val="24"/>
          <w:szCs w:val="24"/>
          <w:lang w:val="fr-FR"/>
        </w:rPr>
        <w:t>Pour les formulaires Hospitalité, le nombre estimé de participants comprend les collaborateurs de Teva.</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Calibri"/>
          <w:i/>
          <w:iCs/>
          <w:sz w:val="24"/>
          <w:szCs w:val="24"/>
          <w:u w:val="single"/>
          <w:lang w:val="fr-FR"/>
        </w:rPr>
        <w:t>L'initiateur du projet</w:t>
      </w:r>
      <w:r w:rsidRPr="00176194">
        <w:rPr>
          <w:rFonts w:ascii="Teva Sans Light" w:eastAsia="Teva Sans" w:hAnsi="Teva Sans Light" w:cs="Calibri"/>
          <w:sz w:val="24"/>
          <w:szCs w:val="24"/>
          <w:lang w:val="fr-FR"/>
        </w:rPr>
        <w:t xml:space="preserve"> est le propriétaire de l'activité et est responsable de tous les aspects du dépôt et pas seulement de la saisie des données du dépôt.</w:t>
      </w:r>
    </w:p>
    <w:p w:rsidR="00B847F5" w:rsidRPr="00176194" w:rsidRDefault="00B847F5" w:rsidP="00B847F5">
      <w:pPr>
        <w:pStyle w:val="ListParagraph"/>
        <w:numPr>
          <w:ilvl w:val="0"/>
          <w:numId w:val="4"/>
        </w:numPr>
        <w:spacing w:after="20" w:line="240" w:lineRule="auto"/>
        <w:ind w:left="90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Par exemple : un assistant administratif qui crée un dépôt d'activité au nom d'un chef de produit est un </w:t>
      </w:r>
      <w:r w:rsidRPr="00176194">
        <w:rPr>
          <w:rFonts w:ascii="Teva Sans Light" w:eastAsia="Teva Sans" w:hAnsi="Teva Sans Light" w:cs="Arial"/>
          <w:i/>
          <w:iCs/>
          <w:sz w:val="24"/>
          <w:szCs w:val="24"/>
          <w:u w:val="single"/>
          <w:lang w:val="fr-FR"/>
        </w:rPr>
        <w:t>Demandeur</w:t>
      </w:r>
      <w:r w:rsidRPr="00176194">
        <w:rPr>
          <w:rFonts w:ascii="Teva Sans Light" w:eastAsia="Teva Sans" w:hAnsi="Teva Sans Light" w:cs="Arial"/>
          <w:sz w:val="24"/>
          <w:szCs w:val="24"/>
          <w:lang w:val="fr-FR"/>
        </w:rPr>
        <w:t>, tandis que le chef de produit est l'</w:t>
      </w:r>
      <w:r w:rsidRPr="00176194">
        <w:rPr>
          <w:rFonts w:ascii="Teva Sans Light" w:eastAsia="Teva Sans" w:hAnsi="Teva Sans Light" w:cs="Arial"/>
          <w:i/>
          <w:iCs/>
          <w:sz w:val="24"/>
          <w:szCs w:val="24"/>
          <w:u w:val="single"/>
          <w:lang w:val="fr-FR"/>
        </w:rPr>
        <w:t>initiateur du projet</w:t>
      </w:r>
    </w:p>
    <w:p w:rsidR="00B847F5" w:rsidRPr="00176194" w:rsidRDefault="00B847F5" w:rsidP="00B847F5">
      <w:pPr>
        <w:pStyle w:val="ListParagraph"/>
        <w:numPr>
          <w:ilvl w:val="0"/>
          <w:numId w:val="4"/>
        </w:numPr>
        <w:spacing w:after="20" w:line="240" w:lineRule="auto"/>
        <w:ind w:left="900"/>
        <w:contextualSpacing w:val="0"/>
        <w:rPr>
          <w:rFonts w:ascii="Teva Sans Light" w:hAnsi="Teva Sans Light" w:cstheme="minorHAnsi"/>
          <w:sz w:val="24"/>
          <w:szCs w:val="24"/>
          <w:lang w:val="fr-FR"/>
        </w:rPr>
      </w:pPr>
      <w:r w:rsidRPr="00176194">
        <w:rPr>
          <w:rFonts w:ascii="Teva Sans Light" w:eastAsia="Teva Sans" w:hAnsi="Teva Sans Light" w:cs="Arial"/>
          <w:sz w:val="24"/>
          <w:szCs w:val="24"/>
          <w:lang w:val="fr-FR"/>
        </w:rPr>
        <w:t>Les initiateurs de projet sont tenus de certifier que les activités sont conformes à la politique et aux procédures de Teva avant qu'une activité puisse être clôturée</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Les modifications de la </w:t>
      </w:r>
      <w:proofErr w:type="spellStart"/>
      <w:r w:rsidRPr="00176194">
        <w:rPr>
          <w:rFonts w:ascii="Teva Sans Light" w:eastAsia="Teva Sans" w:hAnsi="Teva Sans Light" w:cs="Arial"/>
          <w:sz w:val="24"/>
          <w:szCs w:val="24"/>
          <w:lang w:val="fr-FR"/>
        </w:rPr>
        <w:t>JVM</w:t>
      </w:r>
      <w:proofErr w:type="spellEnd"/>
      <w:r w:rsidRPr="00176194">
        <w:rPr>
          <w:rFonts w:ascii="Teva Sans Light" w:eastAsia="Teva Sans" w:hAnsi="Teva Sans Light" w:cs="Arial"/>
          <w:sz w:val="24"/>
          <w:szCs w:val="24"/>
          <w:lang w:val="fr-FR"/>
        </w:rPr>
        <w:t xml:space="preserve"> sont demandées lorsqu'il est nécessaire de dépasser le </w:t>
      </w:r>
      <w:r w:rsidRPr="00176194">
        <w:rPr>
          <w:rFonts w:ascii="Teva Sans Light" w:eastAsia="Teva Sans" w:hAnsi="Teva Sans Light" w:cs="Arial"/>
          <w:i/>
          <w:iCs/>
          <w:sz w:val="24"/>
          <w:szCs w:val="24"/>
          <w:u w:val="single"/>
          <w:lang w:val="fr-FR"/>
        </w:rPr>
        <w:t>temps de préparation</w:t>
      </w:r>
      <w:r w:rsidRPr="00176194">
        <w:rPr>
          <w:rFonts w:ascii="Teva Sans Light" w:eastAsia="Teva Sans" w:hAnsi="Teva Sans Light" w:cs="Arial"/>
          <w:sz w:val="24"/>
          <w:szCs w:val="24"/>
          <w:lang w:val="fr-FR"/>
        </w:rPr>
        <w:t xml:space="preserve"> ou le </w:t>
      </w:r>
      <w:r w:rsidRPr="00176194">
        <w:rPr>
          <w:rFonts w:ascii="Teva Sans Light" w:eastAsia="Teva Sans" w:hAnsi="Teva Sans Light" w:cs="Arial"/>
          <w:i/>
          <w:iCs/>
          <w:sz w:val="24"/>
          <w:szCs w:val="24"/>
          <w:u w:val="single"/>
          <w:lang w:val="fr-FR"/>
        </w:rPr>
        <w:t>temps de déplacement</w:t>
      </w:r>
      <w:r w:rsidRPr="00176194">
        <w:rPr>
          <w:rFonts w:ascii="Teva Sans Light" w:eastAsia="Teva Sans" w:hAnsi="Teva Sans Light" w:cs="Arial"/>
          <w:sz w:val="24"/>
          <w:szCs w:val="24"/>
          <w:lang w:val="fr-FR"/>
        </w:rPr>
        <w:t xml:space="preserve"> maximum autorisé, de modifier le </w:t>
      </w:r>
      <w:r w:rsidRPr="00176194">
        <w:rPr>
          <w:rFonts w:ascii="Teva Sans Light" w:eastAsia="Teva Sans" w:hAnsi="Teva Sans Light" w:cs="Arial"/>
          <w:i/>
          <w:iCs/>
          <w:sz w:val="24"/>
          <w:szCs w:val="24"/>
          <w:u w:val="single"/>
          <w:lang w:val="fr-FR"/>
        </w:rPr>
        <w:t>niveau actuel</w:t>
      </w:r>
      <w:r w:rsidRPr="00176194">
        <w:rPr>
          <w:rFonts w:ascii="Teva Sans Light" w:eastAsia="Teva Sans" w:hAnsi="Teva Sans Light" w:cs="Arial"/>
          <w:sz w:val="24"/>
          <w:szCs w:val="24"/>
          <w:lang w:val="fr-FR"/>
        </w:rPr>
        <w:t xml:space="preserve"> du Professionnel de santé ou de demander un </w:t>
      </w:r>
      <w:r w:rsidRPr="00176194">
        <w:rPr>
          <w:rFonts w:ascii="Teva Sans Light" w:eastAsia="Teva Sans" w:hAnsi="Teva Sans Light" w:cs="Arial"/>
          <w:i/>
          <w:iCs/>
          <w:sz w:val="24"/>
          <w:szCs w:val="24"/>
          <w:u w:val="single"/>
          <w:lang w:val="fr-FR"/>
        </w:rPr>
        <w:t>changement de taux ponctuel</w:t>
      </w:r>
      <w:r w:rsidRPr="00176194">
        <w:rPr>
          <w:rFonts w:ascii="Teva Sans Light" w:eastAsia="Teva Sans" w:hAnsi="Teva Sans Light" w:cs="Arial"/>
          <w:sz w:val="24"/>
          <w:szCs w:val="24"/>
          <w:lang w:val="fr-FR"/>
        </w:rPr>
        <w:t xml:space="preserve"> ou un </w:t>
      </w:r>
      <w:r w:rsidRPr="00176194">
        <w:rPr>
          <w:rFonts w:ascii="Teva Sans Light" w:eastAsia="Teva Sans" w:hAnsi="Teva Sans Light" w:cs="Arial"/>
          <w:i/>
          <w:iCs/>
          <w:sz w:val="24"/>
          <w:szCs w:val="24"/>
          <w:u w:val="single"/>
          <w:lang w:val="fr-FR"/>
        </w:rPr>
        <w:t>changement de taux permanent</w:t>
      </w:r>
      <w:r w:rsidRPr="00176194">
        <w:rPr>
          <w:rFonts w:ascii="Teva Sans Light" w:eastAsia="Teva Sans" w:hAnsi="Teva Sans Light" w:cs="Arial"/>
          <w:sz w:val="24"/>
          <w:szCs w:val="24"/>
          <w:lang w:val="fr-FR"/>
        </w:rPr>
        <w:t>.</w:t>
      </w:r>
    </w:p>
    <w:p w:rsidR="00B847F5" w:rsidRPr="00176194" w:rsidRDefault="00B847F5" w:rsidP="00B847F5">
      <w:pPr>
        <w:spacing w:after="20" w:line="240" w:lineRule="auto"/>
        <w:ind w:left="180"/>
        <w:rPr>
          <w:rFonts w:ascii="Teva Sans Light" w:hAnsi="Teva Sans Light"/>
          <w:sz w:val="24"/>
          <w:szCs w:val="24"/>
          <w:lang w:val="fr-FR"/>
        </w:rPr>
      </w:pPr>
    </w:p>
    <w:p w:rsidR="00B847F5" w:rsidRPr="00176194" w:rsidRDefault="00B847F5" w:rsidP="00B847F5">
      <w:pPr>
        <w:pStyle w:val="ListParagraph"/>
        <w:numPr>
          <w:ilvl w:val="0"/>
          <w:numId w:val="2"/>
        </w:numPr>
        <w:spacing w:after="20" w:line="240" w:lineRule="auto"/>
        <w:ind w:left="540"/>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Le service médical est une partie obligatoire du processus de révision (1) lorsqu'un nouveau fournisseur de services est désigné et nécessite un niveau, ou (2) lorsqu'un changement de niveau est demandé via une modification de la </w:t>
      </w:r>
      <w:proofErr w:type="spellStart"/>
      <w:r w:rsidRPr="00176194">
        <w:rPr>
          <w:rFonts w:ascii="Teva Sans Light" w:eastAsia="Teva Sans" w:hAnsi="Teva Sans Light" w:cs="Arial"/>
          <w:sz w:val="24"/>
          <w:szCs w:val="24"/>
          <w:lang w:val="fr-FR"/>
        </w:rPr>
        <w:t>JVM</w:t>
      </w:r>
      <w:proofErr w:type="spellEnd"/>
      <w:r w:rsidRPr="00176194">
        <w:rPr>
          <w:rFonts w:ascii="Teva Sans Light" w:eastAsia="Teva Sans" w:hAnsi="Teva Sans Light" w:cs="Arial"/>
          <w:sz w:val="24"/>
          <w:szCs w:val="24"/>
          <w:lang w:val="fr-FR"/>
        </w:rPr>
        <w:t xml:space="preserve">. </w:t>
      </w:r>
    </w:p>
    <w:p w:rsidR="00B847F5" w:rsidRDefault="00B847F5" w:rsidP="00B847F5">
      <w:pPr>
        <w:pStyle w:val="Heading2"/>
        <w:rPr>
          <w:rFonts w:eastAsia="Teva Sans"/>
          <w:b/>
          <w:lang w:val="fr-FR"/>
        </w:rPr>
      </w:pPr>
    </w:p>
    <w:p w:rsidR="00B847F5" w:rsidRPr="00176194" w:rsidRDefault="00B847F5" w:rsidP="00B847F5">
      <w:pPr>
        <w:pStyle w:val="Heading2"/>
        <w:rPr>
          <w:b/>
        </w:rPr>
      </w:pPr>
      <w:bookmarkStart w:id="6" w:name="_Toc119920700"/>
      <w:bookmarkStart w:id="7" w:name="_Toc121404948"/>
      <w:r w:rsidRPr="00176194">
        <w:rPr>
          <w:rFonts w:eastAsia="Teva Sans"/>
          <w:b/>
          <w:lang w:val="fr-FR"/>
        </w:rPr>
        <w:t>Contrôles du système</w:t>
      </w:r>
      <w:bookmarkEnd w:id="6"/>
      <w:bookmarkEnd w:id="7"/>
    </w:p>
    <w:p w:rsidR="00B847F5" w:rsidRPr="00176194" w:rsidRDefault="00B847F5" w:rsidP="00B847F5">
      <w:pPr>
        <w:pStyle w:val="ListParagraph"/>
        <w:numPr>
          <w:ilvl w:val="0"/>
          <w:numId w:val="3"/>
        </w:numPr>
        <w:spacing w:after="20" w:line="240" w:lineRule="auto"/>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Les activités ne peuvent pas être « antidatées » dans EngageMate.</w:t>
      </w:r>
    </w:p>
    <w:p w:rsidR="00B847F5" w:rsidRPr="00176194" w:rsidRDefault="00B847F5" w:rsidP="00B847F5">
      <w:pPr>
        <w:spacing w:after="20" w:line="240" w:lineRule="auto"/>
        <w:ind w:left="360"/>
        <w:rPr>
          <w:rFonts w:ascii="Teva Sans Light" w:hAnsi="Teva Sans Light"/>
          <w:sz w:val="24"/>
          <w:szCs w:val="24"/>
          <w:lang w:val="fr-FR"/>
        </w:rPr>
      </w:pPr>
    </w:p>
    <w:p w:rsidR="00B847F5" w:rsidRPr="00176194" w:rsidRDefault="00B847F5" w:rsidP="00B847F5">
      <w:pPr>
        <w:pStyle w:val="ListParagraph"/>
        <w:numPr>
          <w:ilvl w:val="0"/>
          <w:numId w:val="3"/>
        </w:numPr>
        <w:spacing w:after="20" w:line="240" w:lineRule="auto"/>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Les demandeurs ne peuvent pas être des initiateurs de projet sur le même dépôt (c.-à-d. que vous ne pouvez pas vous sélectionner comme initiateur de projet). </w:t>
      </w:r>
    </w:p>
    <w:p w:rsidR="00B847F5" w:rsidRPr="00176194" w:rsidRDefault="00B847F5" w:rsidP="00B847F5">
      <w:pPr>
        <w:spacing w:after="20" w:line="240" w:lineRule="auto"/>
        <w:ind w:left="360"/>
        <w:rPr>
          <w:rFonts w:ascii="Teva Sans Light" w:hAnsi="Teva Sans Light"/>
          <w:sz w:val="24"/>
          <w:szCs w:val="24"/>
          <w:lang w:val="fr-FR"/>
        </w:rPr>
      </w:pPr>
    </w:p>
    <w:p w:rsidR="00B847F5" w:rsidRPr="00176194" w:rsidRDefault="00B847F5" w:rsidP="00B847F5">
      <w:pPr>
        <w:pStyle w:val="ListParagraph"/>
        <w:numPr>
          <w:ilvl w:val="0"/>
          <w:numId w:val="3"/>
        </w:numPr>
        <w:spacing w:after="20" w:line="240" w:lineRule="auto"/>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Toutes les activités transfrontalières (cross border) nécessitent la saisie de données détaillées sur les dépenses (par Professionnel de santé/Association de professionnels de santé) et de documents justificatifs (p. ex. contrat signé, facture, preuve de service, preuve de paiement, etc.) dans la section Clôture.</w:t>
      </w:r>
    </w:p>
    <w:p w:rsidR="00B847F5" w:rsidRPr="00176194" w:rsidRDefault="00B847F5" w:rsidP="00B847F5">
      <w:pPr>
        <w:spacing w:after="20" w:line="240" w:lineRule="auto"/>
        <w:ind w:left="360"/>
        <w:rPr>
          <w:rFonts w:ascii="Teva Sans Light" w:hAnsi="Teva Sans Light"/>
          <w:sz w:val="24"/>
          <w:szCs w:val="24"/>
          <w:lang w:val="fr-FR"/>
        </w:rPr>
      </w:pPr>
    </w:p>
    <w:p w:rsidR="00B847F5" w:rsidRPr="00176194" w:rsidRDefault="00B847F5" w:rsidP="00B847F5">
      <w:pPr>
        <w:pStyle w:val="ListParagraph"/>
        <w:numPr>
          <w:ilvl w:val="0"/>
          <w:numId w:val="3"/>
        </w:numPr>
        <w:spacing w:after="20" w:line="240" w:lineRule="auto"/>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La ou les activité(s) </w:t>
      </w:r>
      <w:r w:rsidRPr="00176194">
        <w:rPr>
          <w:rFonts w:ascii="Teva Sans Light" w:eastAsia="Teva Sans" w:hAnsi="Teva Sans Light" w:cs="Arial"/>
          <w:i/>
          <w:iCs/>
          <w:sz w:val="24"/>
          <w:szCs w:val="24"/>
          <w:u w:val="single"/>
          <w:lang w:val="fr-FR"/>
        </w:rPr>
        <w:t>approuvées</w:t>
      </w:r>
      <w:r w:rsidRPr="00176194">
        <w:rPr>
          <w:rFonts w:ascii="Teva Sans Light" w:eastAsia="Teva Sans" w:hAnsi="Teva Sans Light" w:cs="Arial"/>
          <w:sz w:val="24"/>
          <w:szCs w:val="24"/>
          <w:lang w:val="fr-FR"/>
        </w:rPr>
        <w:t xml:space="preserve"> passent au statut Clôture, 1 jour après la date de début de l’activité.</w:t>
      </w:r>
    </w:p>
    <w:p w:rsidR="00B847F5" w:rsidRPr="00176194" w:rsidRDefault="00B847F5" w:rsidP="00B847F5">
      <w:pPr>
        <w:spacing w:after="20" w:line="240" w:lineRule="auto"/>
        <w:ind w:left="360"/>
        <w:rPr>
          <w:rFonts w:ascii="Teva Sans Light" w:hAnsi="Teva Sans Light"/>
          <w:sz w:val="24"/>
          <w:szCs w:val="24"/>
        </w:rPr>
      </w:pPr>
    </w:p>
    <w:p w:rsidR="00B847F5" w:rsidRPr="00176194" w:rsidRDefault="00B847F5" w:rsidP="00B847F5">
      <w:pPr>
        <w:pStyle w:val="ListParagraph"/>
        <w:numPr>
          <w:ilvl w:val="0"/>
          <w:numId w:val="3"/>
        </w:numPr>
        <w:spacing w:after="20" w:line="240" w:lineRule="auto"/>
        <w:contextualSpacing w:val="0"/>
        <w:rPr>
          <w:rFonts w:ascii="Teva Sans Light" w:hAnsi="Teva Sans Light"/>
          <w:sz w:val="24"/>
          <w:szCs w:val="24"/>
        </w:rPr>
      </w:pPr>
      <w:r w:rsidRPr="00176194">
        <w:rPr>
          <w:rFonts w:ascii="Teva Sans Light" w:eastAsia="Teva Sans" w:hAnsi="Teva Sans Light" w:cs="Calibri"/>
          <w:sz w:val="24"/>
          <w:szCs w:val="24"/>
          <w:lang w:val="fr-FR"/>
        </w:rPr>
        <w:t xml:space="preserve">Les utilisateurs peuvent continuer à télécharger des documents pour les activités ayant le statut </w:t>
      </w:r>
      <w:r w:rsidRPr="00176194">
        <w:rPr>
          <w:rFonts w:ascii="Teva Sans Light" w:eastAsia="Teva Sans" w:hAnsi="Teva Sans Light" w:cs="Calibri"/>
          <w:i/>
          <w:iCs/>
          <w:sz w:val="24"/>
          <w:szCs w:val="24"/>
          <w:u w:val="single"/>
          <w:lang w:val="fr-FR"/>
        </w:rPr>
        <w:t>Clôturé</w:t>
      </w:r>
      <w:r w:rsidRPr="00176194">
        <w:rPr>
          <w:rFonts w:ascii="Teva Sans Light" w:eastAsia="Teva Sans" w:hAnsi="Teva Sans Light" w:cs="Calibri"/>
          <w:sz w:val="24"/>
          <w:szCs w:val="24"/>
          <w:lang w:val="fr-FR"/>
        </w:rPr>
        <w:t xml:space="preserve">, si nécessaire. Cependant, les documents ne peuvent pas être supprimés. </w:t>
      </w:r>
    </w:p>
    <w:p w:rsidR="00B847F5" w:rsidRPr="00176194" w:rsidRDefault="00B847F5" w:rsidP="00B847F5">
      <w:pPr>
        <w:spacing w:after="20" w:line="240" w:lineRule="auto"/>
        <w:ind w:left="360"/>
        <w:rPr>
          <w:rFonts w:ascii="Teva Sans Light" w:hAnsi="Teva Sans Light"/>
          <w:sz w:val="24"/>
          <w:szCs w:val="24"/>
          <w:lang w:val="fr-FR"/>
        </w:rPr>
      </w:pPr>
    </w:p>
    <w:p w:rsidR="00B847F5" w:rsidRPr="00176194" w:rsidRDefault="00B847F5" w:rsidP="00B847F5">
      <w:pPr>
        <w:pStyle w:val="ListParagraph"/>
        <w:numPr>
          <w:ilvl w:val="0"/>
          <w:numId w:val="3"/>
        </w:numPr>
        <w:spacing w:after="20" w:line="240" w:lineRule="auto"/>
        <w:contextualSpacing w:val="0"/>
        <w:rPr>
          <w:rFonts w:ascii="Teva Sans Light" w:hAnsi="Teva Sans Light"/>
          <w:sz w:val="24"/>
          <w:szCs w:val="24"/>
          <w:lang w:val="fr-FR"/>
        </w:rPr>
      </w:pPr>
      <w:r w:rsidRPr="00176194">
        <w:rPr>
          <w:rFonts w:ascii="Teva Sans Light" w:eastAsia="Teva Sans" w:hAnsi="Teva Sans Light" w:cs="Arial"/>
          <w:sz w:val="24"/>
          <w:szCs w:val="24"/>
          <w:lang w:val="fr-FR"/>
        </w:rPr>
        <w:t xml:space="preserve">Le Comité consultatif/Réunion d'experts </w:t>
      </w:r>
      <w:proofErr w:type="gramStart"/>
      <w:r w:rsidRPr="00176194">
        <w:rPr>
          <w:rFonts w:ascii="Teva Sans Light" w:eastAsia="Teva Sans" w:hAnsi="Teva Sans Light" w:cs="Arial"/>
          <w:sz w:val="24"/>
          <w:szCs w:val="24"/>
          <w:lang w:val="fr-FR"/>
        </w:rPr>
        <w:t>a</w:t>
      </w:r>
      <w:proofErr w:type="gramEnd"/>
      <w:r w:rsidRPr="00176194">
        <w:rPr>
          <w:rFonts w:ascii="Teva Sans Light" w:eastAsia="Teva Sans" w:hAnsi="Teva Sans Light" w:cs="Arial"/>
          <w:sz w:val="24"/>
          <w:szCs w:val="24"/>
          <w:lang w:val="fr-FR"/>
        </w:rPr>
        <w:t xml:space="preserve"> un processus de révision en deux parties : la première concerne le concept du Comité consultatif/Réunion d'experts et la seconde les candidats.</w:t>
      </w:r>
    </w:p>
    <w:p w:rsidR="0080579D" w:rsidRDefault="00B847F5">
      <w:pPr>
        <w:pStyle w:val="Heading1"/>
        <w:spacing w:before="0"/>
        <w:rPr>
          <w:rFonts w:cstheme="minorHAnsi"/>
          <w:b/>
          <w:sz w:val="28"/>
          <w:szCs w:val="24"/>
          <w:u w:val="single"/>
          <w:lang w:val="fr-FR"/>
        </w:rPr>
      </w:pPr>
      <w:bookmarkStart w:id="8" w:name="_Toc121404949"/>
      <w:r>
        <w:rPr>
          <w:rFonts w:ascii="Calibri Light" w:eastAsia="Calibri Light" w:hAnsi="Calibri Light" w:cs="Times New Roman"/>
          <w:b/>
          <w:bCs/>
          <w:color w:val="2E74B5"/>
          <w:sz w:val="36"/>
          <w:szCs w:val="36"/>
          <w:lang w:val="fr-FR"/>
        </w:rPr>
        <w:t xml:space="preserve">Partie 2 </w:t>
      </w:r>
      <w:r>
        <w:rPr>
          <w:rFonts w:ascii="Calibri Light" w:eastAsia="Calibri Light" w:hAnsi="Calibri Light" w:cs="Times New Roman"/>
          <w:b/>
          <w:bCs/>
          <w:color w:val="2E74B5"/>
          <w:sz w:val="36"/>
          <w:szCs w:val="36"/>
          <w:lang w:val="fr-FR"/>
        </w:rPr>
        <w:t>novembre 2022</w:t>
      </w:r>
      <w:bookmarkEnd w:id="8"/>
    </w:p>
    <w:p w:rsidR="0080579D" w:rsidRDefault="00B847F5">
      <w:pPr>
        <w:pStyle w:val="Heading2"/>
        <w:rPr>
          <w:b/>
          <w:lang w:val="fr-FR"/>
        </w:rPr>
      </w:pPr>
      <w:bookmarkStart w:id="9" w:name="_Toc121404950"/>
      <w:r>
        <w:rPr>
          <w:rFonts w:ascii="Calibri Light" w:eastAsia="Calibri Light" w:hAnsi="Calibri Light" w:cs="Times New Roman"/>
          <w:b/>
          <w:bCs/>
          <w:color w:val="2E74B5"/>
          <w:lang w:val="fr-FR"/>
        </w:rPr>
        <w:t>Vidéos de formation EngageMate</w:t>
      </w:r>
      <w:bookmarkEnd w:id="9"/>
    </w:p>
    <w:p w:rsidR="0080579D" w:rsidRDefault="00B847F5">
      <w:pPr>
        <w:pStyle w:val="ListParagraph"/>
        <w:numPr>
          <w:ilvl w:val="0"/>
          <w:numId w:val="6"/>
        </w:numPr>
        <w:spacing w:after="20" w:line="240" w:lineRule="auto"/>
        <w:ind w:left="540"/>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Plusieurs vidéos de formation ont été créées pour vous aider. Vous pouvez les visionner en visitant le site Teva Tube (</w:t>
      </w:r>
      <w:hyperlink r:id="rId8" w:history="1">
        <w:r>
          <w:rPr>
            <w:rFonts w:ascii="Teva Sans Light" w:eastAsia="Teva Sans Light" w:hAnsi="Teva Sans Light" w:cs="Arial"/>
            <w:lang w:val="fr-FR"/>
          </w:rPr>
          <w:t>https://vod.tevapharm.com/</w:t>
        </w:r>
      </w:hyperlink>
      <w:r>
        <w:rPr>
          <w:rFonts w:ascii="Teva Sans Light" w:eastAsia="Teva Sans Light" w:hAnsi="Teva Sans Light" w:cs="Calibri"/>
          <w:sz w:val="24"/>
          <w:szCs w:val="24"/>
          <w:lang w:val="fr-FR"/>
        </w:rPr>
        <w:t xml:space="preserve">) et en recherchant le canal </w:t>
      </w:r>
      <w:r>
        <w:rPr>
          <w:rFonts w:ascii="Teva Sans Light" w:eastAsia="Teva Sans Light" w:hAnsi="Teva Sans Light" w:cs="Calibri"/>
          <w:sz w:val="24"/>
          <w:szCs w:val="24"/>
          <w:u w:val="single"/>
          <w:lang w:val="fr-FR"/>
        </w:rPr>
        <w:t>EngageMate</w:t>
      </w:r>
      <w:r>
        <w:rPr>
          <w:rFonts w:ascii="Teva Sans Light" w:eastAsia="Teva Sans Light" w:hAnsi="Teva Sans Light" w:cs="Calibri"/>
          <w:sz w:val="24"/>
          <w:szCs w:val="24"/>
          <w:lang w:val="fr-FR"/>
        </w:rPr>
        <w:t xml:space="preserve">. </w:t>
      </w:r>
    </w:p>
    <w:p w:rsidR="0080579D" w:rsidRDefault="0080579D">
      <w:pPr>
        <w:spacing w:after="20" w:line="240" w:lineRule="auto"/>
        <w:ind w:left="180"/>
        <w:rPr>
          <w:rFonts w:ascii="Teva Sans Light" w:hAnsi="Teva Sans Light" w:cstheme="minorHAnsi"/>
          <w:sz w:val="20"/>
          <w:szCs w:val="20"/>
          <w:lang w:val="fr-FR"/>
        </w:rPr>
      </w:pPr>
    </w:p>
    <w:p w:rsidR="0080579D" w:rsidRDefault="00B847F5">
      <w:pPr>
        <w:pStyle w:val="ListParagraph"/>
        <w:numPr>
          <w:ilvl w:val="0"/>
          <w:numId w:val="6"/>
        </w:numPr>
        <w:spacing w:after="20" w:line="240" w:lineRule="auto"/>
        <w:ind w:left="540"/>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 xml:space="preserve">En outre, les vidéos de formation liées à EngageMate sont étiquetées </w:t>
      </w:r>
      <w:r>
        <w:rPr>
          <w:rFonts w:ascii="Teva Sans Light" w:eastAsia="Teva Sans Light" w:hAnsi="Teva Sans Light" w:cs="Calibri"/>
          <w:sz w:val="24"/>
          <w:szCs w:val="24"/>
          <w:u w:val="single"/>
          <w:lang w:val="fr-FR"/>
        </w:rPr>
        <w:t>#</w:t>
      </w:r>
      <w:proofErr w:type="spellStart"/>
      <w:r>
        <w:rPr>
          <w:rFonts w:ascii="Teva Sans Light" w:eastAsia="Teva Sans Light" w:hAnsi="Teva Sans Light" w:cs="Calibri"/>
          <w:sz w:val="24"/>
          <w:szCs w:val="24"/>
          <w:u w:val="single"/>
          <w:lang w:val="fr-FR"/>
        </w:rPr>
        <w:t>engagemate</w:t>
      </w:r>
      <w:proofErr w:type="spellEnd"/>
      <w:r>
        <w:rPr>
          <w:rFonts w:ascii="Teva Sans Light" w:eastAsia="Teva Sans Light" w:hAnsi="Teva Sans Light" w:cs="Calibri"/>
          <w:sz w:val="24"/>
          <w:szCs w:val="24"/>
          <w:lang w:val="fr-FR"/>
        </w:rPr>
        <w:t xml:space="preserve"> pour faciliter la recherche.</w:t>
      </w:r>
    </w:p>
    <w:p w:rsidR="0080579D" w:rsidRDefault="0080579D">
      <w:pPr>
        <w:pStyle w:val="Heading2"/>
        <w:rPr>
          <w:b/>
          <w:sz w:val="16"/>
          <w:szCs w:val="16"/>
          <w:lang w:val="fr-FR"/>
        </w:rPr>
      </w:pPr>
    </w:p>
    <w:p w:rsidR="0080579D" w:rsidRDefault="00B847F5">
      <w:pPr>
        <w:pStyle w:val="Heading2"/>
        <w:rPr>
          <w:b/>
        </w:rPr>
      </w:pPr>
      <w:bookmarkStart w:id="10" w:name="_Toc121404951"/>
      <w:r>
        <w:rPr>
          <w:rFonts w:ascii="Calibri Light" w:eastAsia="Calibri Light" w:hAnsi="Calibri Light" w:cs="Times New Roman"/>
          <w:b/>
          <w:bCs/>
          <w:color w:val="2E74B5"/>
          <w:lang w:val="fr-FR"/>
        </w:rPr>
        <w:t>Fonctionnalité du système</w:t>
      </w:r>
      <w:bookmarkEnd w:id="10"/>
      <w:r>
        <w:rPr>
          <w:rFonts w:ascii="Calibri Light" w:eastAsia="Calibri Light" w:hAnsi="Calibri Light" w:cs="Times New Roman"/>
          <w:b/>
          <w:bCs/>
          <w:color w:val="2E74B5"/>
          <w:lang w:val="fr-FR"/>
        </w:rPr>
        <w:t xml:space="preserve"> </w:t>
      </w: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 xml:space="preserve">Lorsque vous </w:t>
      </w:r>
      <w:r>
        <w:rPr>
          <w:rFonts w:ascii="Teva Sans Light" w:eastAsia="Teva Sans Light" w:hAnsi="Teva Sans Light" w:cs="Calibri"/>
          <w:b/>
          <w:bCs/>
          <w:sz w:val="24"/>
          <w:szCs w:val="24"/>
          <w:lang w:val="fr-FR"/>
        </w:rPr>
        <w:t>copiez une activité</w:t>
      </w:r>
      <w:r>
        <w:rPr>
          <w:rFonts w:ascii="Teva Sans Light" w:eastAsia="Teva Sans Light" w:hAnsi="Teva Sans Light" w:cs="Calibri"/>
          <w:sz w:val="24"/>
          <w:szCs w:val="24"/>
          <w:lang w:val="fr-FR"/>
        </w:rPr>
        <w:t xml:space="preserve"> dans EngageMate, les documents téléchargés</w:t>
      </w:r>
      <w:r>
        <w:rPr>
          <w:rFonts w:ascii="Teva Sans Light" w:eastAsia="Teva Sans Light" w:hAnsi="Teva Sans Light" w:cs="Calibri"/>
          <w:sz w:val="24"/>
          <w:szCs w:val="24"/>
          <w:lang w:val="fr-FR"/>
        </w:rPr>
        <w:t xml:space="preserve"> dans la soumission originale sont également copiés dans la nouvelle activité. Vous devez supprimer les documents s’ils ne sont pas applicables à l’activité nouvellement copiée.</w:t>
      </w:r>
    </w:p>
    <w:p w:rsidR="0080579D" w:rsidRDefault="0080579D">
      <w:pPr>
        <w:spacing w:after="20" w:line="240" w:lineRule="auto"/>
        <w:ind w:left="180"/>
        <w:rPr>
          <w:rFonts w:ascii="Teva Sans Light" w:hAnsi="Teva Sans Light" w:cstheme="minorHAnsi"/>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Lors de la migration des activités HIP vers EngageMate, les documents associé</w:t>
      </w:r>
      <w:r>
        <w:rPr>
          <w:rFonts w:ascii="Teva Sans Light" w:eastAsia="Teva Sans Light" w:hAnsi="Teva Sans Light" w:cs="Calibri"/>
          <w:sz w:val="24"/>
          <w:szCs w:val="24"/>
          <w:lang w:val="fr-FR"/>
        </w:rPr>
        <w:t>s ne seront pas téléchargés. La documentation de ces activités fait partie de l’enregistrement des activités HIP archivées.</w:t>
      </w:r>
    </w:p>
    <w:p w:rsidR="0080579D" w:rsidRDefault="0080579D">
      <w:pPr>
        <w:pStyle w:val="ListParagraph"/>
        <w:rPr>
          <w:rFonts w:ascii="Teva Sans Light" w:hAnsi="Teva Sans Light" w:cstheme="minorHAnsi"/>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Calibri"/>
          <w:sz w:val="24"/>
          <w:szCs w:val="24"/>
          <w:lang w:val="fr-FR"/>
        </w:rPr>
        <w:t xml:space="preserve">Vous pouvez télécharger un nouveau CV en modifiant le profil du fournisseur de services. Vous pourrez supprimer le CV déjà </w:t>
      </w:r>
      <w:r>
        <w:rPr>
          <w:rFonts w:ascii="Teva Sans Light" w:eastAsia="Teva Sans Light" w:hAnsi="Teva Sans Light" w:cs="Calibri"/>
          <w:sz w:val="24"/>
          <w:szCs w:val="24"/>
          <w:lang w:val="fr-FR"/>
        </w:rPr>
        <w:t>existant.</w:t>
      </w:r>
    </w:p>
    <w:p w:rsidR="0080579D" w:rsidRDefault="0080579D">
      <w:pPr>
        <w:spacing w:after="20" w:line="240" w:lineRule="auto"/>
        <w:ind w:left="180"/>
        <w:rPr>
          <w:rFonts w:ascii="Teva Sans Light" w:hAnsi="Teva Sans Light" w:cstheme="minorHAnsi"/>
          <w:sz w:val="20"/>
          <w:szCs w:val="20"/>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Calibri"/>
          <w:b/>
          <w:bCs/>
          <w:sz w:val="24"/>
          <w:szCs w:val="24"/>
          <w:u w:val="single"/>
          <w:lang w:val="fr-FR"/>
        </w:rPr>
        <w:t>Ne répondez pas</w:t>
      </w:r>
      <w:r>
        <w:rPr>
          <w:rFonts w:ascii="Teva Sans Light" w:eastAsia="Teva Sans Light" w:hAnsi="Teva Sans Light" w:cs="Calibri"/>
          <w:sz w:val="24"/>
          <w:szCs w:val="24"/>
          <w:lang w:val="fr-FR"/>
        </w:rPr>
        <w:t xml:space="preserve"> aux messages électroniques automatisés reçus d’EngageMate. La boîte de messagerie de réponse n’est </w:t>
      </w:r>
      <w:r>
        <w:rPr>
          <w:rFonts w:ascii="Teva Sans Light" w:eastAsia="Teva Sans Light" w:hAnsi="Teva Sans Light" w:cs="Calibri"/>
          <w:b/>
          <w:bCs/>
          <w:sz w:val="24"/>
          <w:szCs w:val="24"/>
          <w:u w:val="single"/>
          <w:lang w:val="fr-FR"/>
        </w:rPr>
        <w:t>pas</w:t>
      </w:r>
      <w:r>
        <w:rPr>
          <w:rFonts w:ascii="Teva Sans Light" w:eastAsia="Teva Sans Light" w:hAnsi="Teva Sans Light" w:cs="Calibri"/>
          <w:sz w:val="24"/>
          <w:szCs w:val="24"/>
          <w:lang w:val="fr-FR"/>
        </w:rPr>
        <w:t xml:space="preserve"> monitorée et vous ne recevrez aucune réponse. </w:t>
      </w:r>
    </w:p>
    <w:p w:rsidR="0080579D" w:rsidRDefault="0080579D">
      <w:pPr>
        <w:spacing w:after="20" w:line="240" w:lineRule="auto"/>
        <w:ind w:left="180"/>
        <w:rPr>
          <w:rFonts w:ascii="Teva Sans Light" w:hAnsi="Teva Sans Light" w:cstheme="minorHAnsi"/>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Arial"/>
          <w:bCs/>
          <w:sz w:val="24"/>
          <w:szCs w:val="24"/>
          <w:lang w:val="fr-FR"/>
        </w:rPr>
        <w:t xml:space="preserve">Lorsque </w:t>
      </w:r>
      <w:r>
        <w:rPr>
          <w:rFonts w:ascii="Teva Sans Light" w:eastAsia="Teva Sans Light" w:hAnsi="Teva Sans Light" w:cs="Arial"/>
          <w:b/>
          <w:bCs/>
          <w:sz w:val="24"/>
          <w:szCs w:val="24"/>
          <w:lang w:val="fr-FR"/>
        </w:rPr>
        <w:t>vous recherchez un fournisseur de services</w:t>
      </w:r>
      <w:r>
        <w:rPr>
          <w:rFonts w:ascii="Teva Sans Light" w:eastAsia="Teva Sans Light" w:hAnsi="Teva Sans Light" w:cs="Arial"/>
          <w:sz w:val="24"/>
          <w:szCs w:val="24"/>
          <w:lang w:val="fr-FR"/>
        </w:rPr>
        <w:t xml:space="preserve">, il est suggéré d’utiliser </w:t>
      </w:r>
      <w:r>
        <w:rPr>
          <w:rFonts w:ascii="Teva Sans Light" w:eastAsia="Teva Sans Light" w:hAnsi="Teva Sans Light" w:cs="Arial"/>
          <w:sz w:val="24"/>
          <w:szCs w:val="24"/>
          <w:lang w:val="fr-FR"/>
        </w:rPr>
        <w:t xml:space="preserve">les champs « Nom local ». Les champs « Nom en anglais » sont vides pour la plupart des fournisseurs de services. </w:t>
      </w:r>
    </w:p>
    <w:p w:rsidR="0080579D" w:rsidRDefault="0080579D">
      <w:pPr>
        <w:spacing w:after="20" w:line="240" w:lineRule="auto"/>
        <w:ind w:left="180"/>
        <w:rPr>
          <w:rFonts w:ascii="Teva Sans Light" w:hAnsi="Teva Sans Light" w:cstheme="minorHAnsi"/>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Lorsque vous utilisez les champs « Nom en anglais », si vous n’avez pas de nom anglais, vous pouvez saisir le nom dans la langue locale, mais</w:t>
      </w:r>
      <w:r>
        <w:rPr>
          <w:rFonts w:ascii="Teva Sans Light" w:eastAsia="Teva Sans Light" w:hAnsi="Teva Sans Light" w:cs="Calibri"/>
          <w:sz w:val="24"/>
          <w:szCs w:val="24"/>
          <w:lang w:val="fr-FR"/>
        </w:rPr>
        <w:t xml:space="preserve"> supprimez tous les caractères spéciaux du nom, car tous les utilisateurs ne peuvent pas accéder facilement à ces caractères spéciaux sur leur clavier.</w:t>
      </w:r>
    </w:p>
    <w:p w:rsidR="0080579D" w:rsidRDefault="0080579D">
      <w:pPr>
        <w:pStyle w:val="ListParagraph"/>
        <w:rPr>
          <w:rFonts w:ascii="Teva Sans Light" w:hAnsi="Teva Sans Light"/>
          <w:b/>
          <w:bCs/>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Arial"/>
          <w:b/>
          <w:bCs/>
          <w:sz w:val="24"/>
          <w:szCs w:val="24"/>
          <w:lang w:val="fr-FR"/>
        </w:rPr>
        <w:t>Réviseur désigné</w:t>
      </w:r>
      <w:r>
        <w:rPr>
          <w:rFonts w:ascii="Teva Sans Light" w:eastAsia="Teva Sans Light" w:hAnsi="Teva Sans Light" w:cs="Arial"/>
          <w:sz w:val="24"/>
          <w:szCs w:val="24"/>
          <w:lang w:val="fr-FR"/>
        </w:rPr>
        <w:t xml:space="preserve"> - si vous n’êtes pas sûr de la personne à sélectionner comme réviseur désigné, contact</w:t>
      </w:r>
      <w:r>
        <w:rPr>
          <w:rFonts w:ascii="Teva Sans Light" w:eastAsia="Teva Sans Light" w:hAnsi="Teva Sans Light" w:cs="Arial"/>
          <w:sz w:val="24"/>
          <w:szCs w:val="24"/>
          <w:lang w:val="fr-FR"/>
        </w:rPr>
        <w:t>ez votre Responsable local de la conformité pour obtenir des conseils.</w:t>
      </w:r>
    </w:p>
    <w:p w:rsidR="0080579D" w:rsidRDefault="0080579D">
      <w:pPr>
        <w:spacing w:after="20" w:line="240" w:lineRule="auto"/>
        <w:ind w:left="180"/>
        <w:rPr>
          <w:rFonts w:ascii="Teva Sans Light" w:hAnsi="Teva Sans Light" w:cstheme="minorHAnsi"/>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Arial"/>
          <w:bCs/>
          <w:sz w:val="24"/>
          <w:szCs w:val="24"/>
          <w:lang w:val="fr-FR"/>
        </w:rPr>
        <w:t xml:space="preserve">Les </w:t>
      </w:r>
      <w:r>
        <w:rPr>
          <w:rFonts w:ascii="Teva Sans Light" w:eastAsia="Teva Sans Light" w:hAnsi="Teva Sans Light" w:cs="Arial"/>
          <w:b/>
          <w:bCs/>
          <w:sz w:val="24"/>
          <w:szCs w:val="24"/>
          <w:lang w:val="fr-FR"/>
        </w:rPr>
        <w:t>groupes de réviseurs</w:t>
      </w:r>
      <w:r>
        <w:rPr>
          <w:rFonts w:ascii="Teva Sans Light" w:eastAsia="Teva Sans Light" w:hAnsi="Teva Sans Light" w:cs="Arial"/>
          <w:sz w:val="24"/>
          <w:szCs w:val="24"/>
          <w:lang w:val="fr-FR"/>
        </w:rPr>
        <w:t xml:space="preserve"> sont configurés dans EngageMate. Pour les activités qui nécessitent une révision de niveau 2, l’utilisateur n’a pas besoin de sélectionner le ou les réviseurs.</w:t>
      </w:r>
    </w:p>
    <w:p w:rsidR="0080579D" w:rsidRDefault="0080579D">
      <w:pPr>
        <w:spacing w:after="20" w:line="240" w:lineRule="auto"/>
        <w:ind w:left="180"/>
        <w:rPr>
          <w:rFonts w:ascii="Teva Sans Light" w:hAnsi="Teva Sans Light" w:cstheme="minorHAnsi"/>
          <w:sz w:val="20"/>
          <w:szCs w:val="20"/>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Arial"/>
          <w:b/>
          <w:bCs/>
          <w:sz w:val="24"/>
          <w:szCs w:val="24"/>
          <w:lang w:val="fr-FR"/>
        </w:rPr>
        <w:t>Utilisateurs à double rôle</w:t>
      </w:r>
      <w:r>
        <w:rPr>
          <w:rFonts w:ascii="Teva Sans Light" w:eastAsia="Teva Sans Light" w:hAnsi="Teva Sans Light" w:cs="Arial"/>
          <w:sz w:val="24"/>
          <w:szCs w:val="24"/>
          <w:lang w:val="fr-FR"/>
        </w:rPr>
        <w:t xml:space="preserve"> - Certains utilisateurs ont plusieurs rôles dans EngageMate. Par conséquent, si vous utilisez le lien dans l’e-mail de notification pour accéder à l’activité, n’oubliez pas d’ouvrir une session en utilisant le même rôle que cel</w:t>
      </w:r>
      <w:r>
        <w:rPr>
          <w:rFonts w:ascii="Teva Sans Light" w:eastAsia="Teva Sans Light" w:hAnsi="Teva Sans Light" w:cs="Arial"/>
          <w:sz w:val="24"/>
          <w:szCs w:val="24"/>
          <w:lang w:val="fr-FR"/>
        </w:rPr>
        <w:t>ui indiqué dans le corps de l’e-mail. Si vous vous connectez en utilisant le mauvais rôle, vous recevrez un message d’erreur ou serez incapable de prendre des mesures.</w:t>
      </w: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Arial"/>
          <w:b/>
          <w:bCs/>
          <w:sz w:val="24"/>
          <w:szCs w:val="24"/>
          <w:lang w:val="fr-FR"/>
        </w:rPr>
        <w:lastRenderedPageBreak/>
        <w:t>Demande d’informations supplémentaires</w:t>
      </w:r>
      <w:r>
        <w:rPr>
          <w:rFonts w:ascii="Teva Sans Light" w:eastAsia="Teva Sans Light" w:hAnsi="Teva Sans Light" w:cs="Arial"/>
          <w:sz w:val="24"/>
          <w:szCs w:val="24"/>
          <w:lang w:val="fr-FR"/>
        </w:rPr>
        <w:t xml:space="preserve"> - lorsqu’un réviseur sélectionne « Demande d’info</w:t>
      </w:r>
      <w:r>
        <w:rPr>
          <w:rFonts w:ascii="Teva Sans Light" w:eastAsia="Teva Sans Light" w:hAnsi="Teva Sans Light" w:cs="Arial"/>
          <w:sz w:val="24"/>
          <w:szCs w:val="24"/>
          <w:lang w:val="fr-FR"/>
        </w:rPr>
        <w:t>rmations supplémentaires », le cycle complet de révision est réactivé. Cela signifie que tous les réviseurs devront procéder à une nouvelle révision et rendre une décision après que le soumissionnaire aura ajouté les informations supplémentaires demandées.</w:t>
      </w:r>
    </w:p>
    <w:p w:rsidR="0080579D" w:rsidRDefault="0080579D">
      <w:pPr>
        <w:spacing w:after="20" w:line="240" w:lineRule="auto"/>
        <w:ind w:left="180"/>
        <w:rPr>
          <w:rFonts w:ascii="Teva Sans Light" w:hAnsi="Teva Sans Light"/>
          <w:sz w:val="24"/>
          <w:szCs w:val="24"/>
          <w:lang w:val="fr-FR"/>
        </w:rPr>
      </w:pPr>
    </w:p>
    <w:p w:rsidR="0080579D" w:rsidRDefault="00B847F5">
      <w:pPr>
        <w:pStyle w:val="ListParagraph"/>
        <w:numPr>
          <w:ilvl w:val="0"/>
          <w:numId w:val="7"/>
        </w:numPr>
        <w:spacing w:after="20" w:line="240" w:lineRule="auto"/>
        <w:contextualSpacing w:val="0"/>
        <w:rPr>
          <w:rFonts w:ascii="Teva Sans Light" w:hAnsi="Teva Sans Light"/>
          <w:sz w:val="24"/>
          <w:szCs w:val="24"/>
          <w:lang w:val="fr-FR"/>
        </w:rPr>
      </w:pPr>
      <w:r>
        <w:rPr>
          <w:rFonts w:ascii="Teva Sans Light" w:eastAsia="Teva Sans Light" w:hAnsi="Teva Sans Light" w:cs="Arial"/>
          <w:b/>
          <w:bCs/>
          <w:sz w:val="24"/>
          <w:szCs w:val="24"/>
          <w:lang w:val="fr-FR"/>
        </w:rPr>
        <w:t>Onglet Réviseurs</w:t>
      </w:r>
      <w:r>
        <w:rPr>
          <w:rFonts w:ascii="Teva Sans Light" w:eastAsia="Teva Sans Light" w:hAnsi="Teva Sans Light" w:cs="Arial"/>
          <w:sz w:val="24"/>
          <w:szCs w:val="24"/>
          <w:lang w:val="fr-FR"/>
        </w:rPr>
        <w:t xml:space="preserve"> - Nous comprenons que cet onglet peut prêter à confusion car il énumère tous les réviseurs possibles. Si un utilisateur souhaite savoir qui révise actuellement l’activité et/ou le statut, veuillez consulter l’onglet </w:t>
      </w:r>
      <w:r>
        <w:rPr>
          <w:rFonts w:ascii="Teva Sans Light" w:eastAsia="Teva Sans Light" w:hAnsi="Teva Sans Light" w:cs="Arial"/>
          <w:b/>
          <w:bCs/>
          <w:sz w:val="24"/>
          <w:szCs w:val="24"/>
          <w:lang w:val="fr-FR"/>
        </w:rPr>
        <w:t>Historique de l’audit</w:t>
      </w:r>
      <w:r>
        <w:rPr>
          <w:rFonts w:ascii="Teva Sans Light" w:eastAsia="Teva Sans Light" w:hAnsi="Teva Sans Light" w:cs="Arial"/>
          <w:sz w:val="24"/>
          <w:szCs w:val="24"/>
          <w:lang w:val="fr-FR"/>
        </w:rPr>
        <w:t xml:space="preserve"> pour obtenir ces informations.</w:t>
      </w:r>
    </w:p>
    <w:p w:rsidR="0080579D" w:rsidRDefault="0080579D">
      <w:pPr>
        <w:rPr>
          <w:rFonts w:ascii="Teva Sans Light" w:hAnsi="Teva Sans Light"/>
          <w:sz w:val="24"/>
          <w:szCs w:val="24"/>
          <w:lang w:val="fr-FR"/>
        </w:rPr>
      </w:pPr>
    </w:p>
    <w:p w:rsidR="0080579D" w:rsidRDefault="00B847F5">
      <w:pPr>
        <w:pStyle w:val="ListParagraph"/>
        <w:numPr>
          <w:ilvl w:val="0"/>
          <w:numId w:val="7"/>
        </w:numPr>
        <w:spacing w:after="20" w:line="240" w:lineRule="auto"/>
        <w:contextualSpacing w:val="0"/>
        <w:rPr>
          <w:rFonts w:ascii="Teva Sans Light" w:hAnsi="Teva Sans Light"/>
          <w:sz w:val="24"/>
          <w:szCs w:val="24"/>
          <w:lang w:val="fr-FR"/>
        </w:rPr>
      </w:pPr>
      <w:r>
        <w:rPr>
          <w:rFonts w:ascii="Teva Sans Light" w:eastAsia="Teva Sans Light" w:hAnsi="Teva Sans Light" w:cs="Arial"/>
          <w:b/>
          <w:bCs/>
          <w:sz w:val="24"/>
          <w:szCs w:val="24"/>
          <w:lang w:val="fr-FR"/>
        </w:rPr>
        <w:t>Réviseur « quelconque »</w:t>
      </w:r>
      <w:r>
        <w:rPr>
          <w:rFonts w:ascii="Teva Sans Light" w:eastAsia="Teva Sans Light" w:hAnsi="Teva Sans Light" w:cs="Arial"/>
          <w:sz w:val="24"/>
          <w:szCs w:val="24"/>
          <w:lang w:val="fr-FR"/>
        </w:rPr>
        <w:t xml:space="preserve"> - certains groupes dans la révision de niveau 2 ont la fonction de réviseur « quelconque » où plusieurs personnes sont assignées pour réviser une activité ; mais </w:t>
      </w:r>
      <w:r>
        <w:rPr>
          <w:rFonts w:ascii="Teva Sans Light" w:eastAsia="Teva Sans Light" w:hAnsi="Teva Sans Light" w:cs="Arial"/>
          <w:b/>
          <w:bCs/>
          <w:sz w:val="24"/>
          <w:szCs w:val="24"/>
          <w:u w:val="single"/>
          <w:lang w:val="fr-FR"/>
        </w:rPr>
        <w:t>une</w:t>
      </w:r>
      <w:r>
        <w:rPr>
          <w:rFonts w:ascii="Teva Sans Light" w:eastAsia="Teva Sans Light" w:hAnsi="Teva Sans Light" w:cs="Arial"/>
          <w:sz w:val="24"/>
          <w:szCs w:val="24"/>
          <w:lang w:val="fr-FR"/>
        </w:rPr>
        <w:t xml:space="preserve"> seule personne est nécessaire pou</w:t>
      </w:r>
      <w:r>
        <w:rPr>
          <w:rFonts w:ascii="Teva Sans Light" w:eastAsia="Teva Sans Light" w:hAnsi="Teva Sans Light" w:cs="Arial"/>
          <w:sz w:val="24"/>
          <w:szCs w:val="24"/>
          <w:lang w:val="fr-FR"/>
        </w:rPr>
        <w:t xml:space="preserve">r rendre une décision. Si vous voyez le même </w:t>
      </w:r>
      <w:r>
        <w:rPr>
          <w:rFonts w:ascii="Teva Sans Light" w:eastAsia="Teva Sans Light" w:hAnsi="Teva Sans Light" w:cs="Arial"/>
          <w:b/>
          <w:bCs/>
          <w:sz w:val="24"/>
          <w:szCs w:val="24"/>
          <w:u w:val="single"/>
          <w:lang w:val="fr-FR"/>
        </w:rPr>
        <w:t>sous-rôle</w:t>
      </w:r>
      <w:r>
        <w:rPr>
          <w:rFonts w:ascii="Teva Sans Light" w:eastAsia="Teva Sans Light" w:hAnsi="Teva Sans Light" w:cs="Arial"/>
          <w:sz w:val="24"/>
          <w:szCs w:val="24"/>
          <w:lang w:val="fr-FR"/>
        </w:rPr>
        <w:t xml:space="preserve"> listé dans l’onglet Historique d’audit ou l’onglet Réviseur pour un réviseur, cela indique qu’une seule personne doit rendre une décision. Les autres sont ignorés dans le système après que la première </w:t>
      </w:r>
      <w:r>
        <w:rPr>
          <w:rFonts w:ascii="Teva Sans Light" w:eastAsia="Teva Sans Light" w:hAnsi="Teva Sans Light" w:cs="Arial"/>
          <w:sz w:val="24"/>
          <w:szCs w:val="24"/>
          <w:lang w:val="fr-FR"/>
        </w:rPr>
        <w:t>décision a été rendue.</w:t>
      </w:r>
    </w:p>
    <w:p w:rsidR="0080579D" w:rsidRDefault="0080579D">
      <w:pPr>
        <w:spacing w:after="20" w:line="240" w:lineRule="auto"/>
        <w:ind w:left="180"/>
        <w:rPr>
          <w:rFonts w:ascii="Teva Sans Light" w:hAnsi="Teva Sans Light" w:cstheme="minorHAnsi"/>
          <w:sz w:val="24"/>
          <w:szCs w:val="24"/>
          <w:lang w:val="fr-FR"/>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rPr>
      </w:pPr>
      <w:r>
        <w:rPr>
          <w:rFonts w:ascii="Teva Sans Light" w:eastAsia="Teva Sans Light" w:hAnsi="Teva Sans Light" w:cs="Arial"/>
          <w:b/>
          <w:bCs/>
          <w:sz w:val="24"/>
          <w:szCs w:val="24"/>
          <w:lang w:val="fr-FR"/>
        </w:rPr>
        <w:t>Téléchargement de documents</w:t>
      </w:r>
      <w:r>
        <w:rPr>
          <w:rFonts w:ascii="Teva Sans Light" w:eastAsia="Teva Sans Light" w:hAnsi="Teva Sans Light" w:cs="Arial"/>
          <w:sz w:val="24"/>
          <w:szCs w:val="24"/>
          <w:lang w:val="fr-FR"/>
        </w:rPr>
        <w:t xml:space="preserve"> dans EngageMate - Le système identifie si l’activité comprend des documents téléchargés par le nom du bouton d’action. Par exemple : </w:t>
      </w:r>
    </w:p>
    <w:tbl>
      <w:tblPr>
        <w:tblStyle w:val="TableGrid"/>
        <w:tblW w:w="0" w:type="auto"/>
        <w:tblInd w:w="715" w:type="dxa"/>
        <w:tblLook w:val="04A0" w:firstRow="1" w:lastRow="0" w:firstColumn="1" w:lastColumn="0" w:noHBand="0" w:noVBand="1"/>
      </w:tblPr>
      <w:tblGrid>
        <w:gridCol w:w="4536"/>
        <w:gridCol w:w="4823"/>
      </w:tblGrid>
      <w:tr w:rsidR="0080579D">
        <w:trPr>
          <w:trHeight w:val="873"/>
        </w:trPr>
        <w:tc>
          <w:tcPr>
            <w:tcW w:w="4476" w:type="dxa"/>
          </w:tcPr>
          <w:p w:rsidR="0080579D" w:rsidRDefault="00B847F5">
            <w:pPr>
              <w:spacing w:after="20"/>
              <w:rPr>
                <w:rFonts w:ascii="Teva Sans Light" w:hAnsi="Teva Sans Light"/>
                <w:bCs/>
                <w:sz w:val="24"/>
                <w:szCs w:val="24"/>
              </w:rPr>
            </w:pPr>
            <w:r>
              <w:rPr>
                <w:noProof/>
              </w:rPr>
              <w:drawing>
                <wp:inline distT="0" distB="0" distL="0" distR="0">
                  <wp:extent cx="2682875" cy="577850"/>
                  <wp:effectExtent l="0" t="0" r="3175" b="0"/>
                  <wp:docPr id="3" name="Picture 3" descr="cid:image001.png@01D8F9B8.210D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png@01D8F9B8.210D5450"/>
                          <pic:cNvPicPr>
                            <a:picLocks noChangeAspect="1" noChangeArrowheads="1"/>
                          </pic:cNvPicPr>
                        </pic:nvPicPr>
                        <pic:blipFill>
                          <a:blip r:embed="rId9" r:link="rId10">
                            <a:extLst>
                              <a:ext uri="{28A0092B-C50C-407E-A947-70E740481C1C}">
                                <a14:useLocalDpi xmlns:a14="http://schemas.microsoft.com/office/drawing/2010/main" val="0"/>
                              </a:ext>
                            </a:extLst>
                          </a:blip>
                          <a:stretch>
                            <a:fillRect/>
                          </a:stretch>
                        </pic:blipFill>
                        <pic:spPr bwMode="auto">
                          <a:xfrm>
                            <a:off x="0" y="0"/>
                            <a:ext cx="2682875" cy="577850"/>
                          </a:xfrm>
                          <a:prstGeom prst="rect">
                            <a:avLst/>
                          </a:prstGeom>
                          <a:noFill/>
                          <a:ln>
                            <a:noFill/>
                          </a:ln>
                        </pic:spPr>
                      </pic:pic>
                    </a:graphicData>
                  </a:graphic>
                </wp:inline>
              </w:drawing>
            </w:r>
          </w:p>
        </w:tc>
        <w:tc>
          <w:tcPr>
            <w:tcW w:w="4823" w:type="dxa"/>
          </w:tcPr>
          <w:p w:rsidR="0080579D" w:rsidRDefault="00B847F5">
            <w:pPr>
              <w:spacing w:after="20"/>
              <w:rPr>
                <w:rFonts w:ascii="Teva Sans Light" w:hAnsi="Teva Sans Light"/>
                <w:bCs/>
                <w:sz w:val="24"/>
                <w:szCs w:val="24"/>
                <w:lang w:val="fr-FR"/>
              </w:rPr>
            </w:pPr>
            <w:r>
              <w:rPr>
                <w:rFonts w:ascii="Teva Sans Light" w:eastAsia="Teva Sans Light" w:hAnsi="Teva Sans Light" w:cs="Arial"/>
                <w:bCs/>
                <w:sz w:val="24"/>
                <w:szCs w:val="24"/>
                <w:lang w:val="fr-FR"/>
              </w:rPr>
              <w:t>« </w:t>
            </w:r>
            <w:r>
              <w:rPr>
                <w:rFonts w:ascii="Teva Sans Light" w:eastAsia="Teva Sans Light" w:hAnsi="Teva Sans Light" w:cs="Arial"/>
                <w:bCs/>
                <w:i/>
                <w:iCs/>
                <w:sz w:val="24"/>
                <w:szCs w:val="24"/>
                <w:u w:val="single"/>
                <w:lang w:val="fr-FR"/>
              </w:rPr>
              <w:t>Afficher/Modifier les téléchargements</w:t>
            </w:r>
            <w:r>
              <w:rPr>
                <w:rFonts w:ascii="Teva Sans Light" w:eastAsia="Teva Sans Light" w:hAnsi="Teva Sans Light" w:cs="Arial"/>
                <w:bCs/>
                <w:sz w:val="24"/>
                <w:szCs w:val="24"/>
                <w:lang w:val="fr-FR"/>
              </w:rPr>
              <w:t> » indique qu’il y a des docu</w:t>
            </w:r>
            <w:r>
              <w:rPr>
                <w:rFonts w:ascii="Teva Sans Light" w:eastAsia="Teva Sans Light" w:hAnsi="Teva Sans Light" w:cs="Arial"/>
                <w:bCs/>
                <w:sz w:val="24"/>
                <w:szCs w:val="24"/>
                <w:lang w:val="fr-FR"/>
              </w:rPr>
              <w:t>ments téléchargés. Cliquez sur ce bouton pour afficher ou modifier ce qui est téléchargé.</w:t>
            </w:r>
          </w:p>
        </w:tc>
      </w:tr>
      <w:tr w:rsidR="0080579D">
        <w:trPr>
          <w:trHeight w:val="949"/>
        </w:trPr>
        <w:tc>
          <w:tcPr>
            <w:tcW w:w="4476" w:type="dxa"/>
            <w:vAlign w:val="center"/>
          </w:tcPr>
          <w:p w:rsidR="0080579D" w:rsidRDefault="00B847F5">
            <w:pPr>
              <w:spacing w:after="20"/>
              <w:rPr>
                <w:rFonts w:ascii="Teva Sans Light" w:hAnsi="Teva Sans Light"/>
                <w:bCs/>
                <w:sz w:val="24"/>
                <w:szCs w:val="24"/>
              </w:rPr>
            </w:pPr>
            <w:r>
              <w:rPr>
                <w:noProof/>
              </w:rPr>
              <w:drawing>
                <wp:inline distT="0" distB="0" distL="0" distR="0">
                  <wp:extent cx="27336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tretch>
                            <a:fillRect/>
                          </a:stretch>
                        </pic:blipFill>
                        <pic:spPr>
                          <a:xfrm>
                            <a:off x="0" y="0"/>
                            <a:ext cx="2733675" cy="628650"/>
                          </a:xfrm>
                          <a:prstGeom prst="rect">
                            <a:avLst/>
                          </a:prstGeom>
                        </pic:spPr>
                      </pic:pic>
                    </a:graphicData>
                  </a:graphic>
                </wp:inline>
              </w:drawing>
            </w:r>
          </w:p>
        </w:tc>
        <w:tc>
          <w:tcPr>
            <w:tcW w:w="4823" w:type="dxa"/>
          </w:tcPr>
          <w:p w:rsidR="0080579D" w:rsidRDefault="00B847F5">
            <w:pPr>
              <w:spacing w:after="20"/>
              <w:rPr>
                <w:rFonts w:ascii="Teva Sans Light" w:hAnsi="Teva Sans Light"/>
                <w:bCs/>
                <w:sz w:val="24"/>
                <w:szCs w:val="24"/>
              </w:rPr>
            </w:pPr>
            <w:r>
              <w:rPr>
                <w:rFonts w:ascii="Teva Sans Light" w:eastAsia="Teva Sans Light" w:hAnsi="Teva Sans Light" w:cs="Arial"/>
                <w:bCs/>
                <w:sz w:val="24"/>
                <w:szCs w:val="24"/>
                <w:lang w:val="fr-FR"/>
              </w:rPr>
              <w:t>« </w:t>
            </w:r>
            <w:r>
              <w:rPr>
                <w:rFonts w:ascii="Teva Sans Light" w:eastAsia="Teva Sans Light" w:hAnsi="Teva Sans Light" w:cs="Arial"/>
                <w:bCs/>
                <w:i/>
                <w:iCs/>
                <w:sz w:val="24"/>
                <w:szCs w:val="24"/>
                <w:u w:val="single"/>
                <w:lang w:val="fr-FR"/>
              </w:rPr>
              <w:t>Commencer le téléchargement</w:t>
            </w:r>
            <w:r>
              <w:rPr>
                <w:rFonts w:ascii="Teva Sans Light" w:eastAsia="Teva Sans Light" w:hAnsi="Teva Sans Light" w:cs="Arial"/>
                <w:bCs/>
                <w:sz w:val="24"/>
                <w:szCs w:val="24"/>
                <w:lang w:val="fr-FR"/>
              </w:rPr>
              <w:t> » indique qu’il n’y a AUCUN document téléchargé dans cette section. Cliquez sur ce bouton pour télécharger des documents.</w:t>
            </w:r>
          </w:p>
        </w:tc>
      </w:tr>
    </w:tbl>
    <w:p w:rsidR="0080579D" w:rsidRDefault="0080579D">
      <w:pPr>
        <w:spacing w:after="20" w:line="240" w:lineRule="auto"/>
        <w:ind w:left="180"/>
        <w:rPr>
          <w:rFonts w:ascii="Teva Sans Light" w:hAnsi="Teva Sans Light" w:cstheme="minorHAnsi"/>
          <w:sz w:val="6"/>
          <w:szCs w:val="6"/>
        </w:rPr>
      </w:pPr>
    </w:p>
    <w:p w:rsidR="0080579D" w:rsidRDefault="00B847F5">
      <w:pPr>
        <w:pStyle w:val="ListParagraph"/>
        <w:numPr>
          <w:ilvl w:val="0"/>
          <w:numId w:val="7"/>
        </w:numPr>
        <w:spacing w:after="20" w:line="240" w:lineRule="auto"/>
        <w:contextualSpacing w:val="0"/>
        <w:rPr>
          <w:rFonts w:ascii="Teva Sans Light" w:hAnsi="Teva Sans Light" w:cstheme="minorHAnsi"/>
          <w:sz w:val="24"/>
          <w:szCs w:val="24"/>
          <w:lang w:val="fr-FR"/>
        </w:rPr>
      </w:pPr>
      <w:r>
        <w:rPr>
          <w:rFonts w:ascii="Teva Sans Light" w:eastAsia="Teva Sans Light" w:hAnsi="Teva Sans Light" w:cs="Arial"/>
          <w:b/>
          <w:bCs/>
          <w:sz w:val="24"/>
          <w:szCs w:val="24"/>
          <w:lang w:val="fr-FR"/>
        </w:rPr>
        <w:t>Annulation d’une activité</w:t>
      </w:r>
      <w:r>
        <w:rPr>
          <w:rFonts w:ascii="Teva Sans Light" w:eastAsia="Teva Sans Light" w:hAnsi="Teva Sans Light" w:cs="Arial"/>
          <w:sz w:val="24"/>
          <w:szCs w:val="24"/>
          <w:lang w:val="fr-FR"/>
        </w:rPr>
        <w:t xml:space="preserve"> - Le soumissionnaire peut </w:t>
      </w:r>
      <w:r>
        <w:rPr>
          <w:rFonts w:ascii="Teva Sans Light" w:eastAsia="Teva Sans Light" w:hAnsi="Teva Sans Light" w:cs="Arial"/>
          <w:b/>
          <w:bCs/>
          <w:sz w:val="24"/>
          <w:szCs w:val="24"/>
          <w:lang w:val="fr-FR"/>
        </w:rPr>
        <w:t>annuler</w:t>
      </w:r>
      <w:r>
        <w:rPr>
          <w:rFonts w:ascii="Teva Sans Light" w:eastAsia="Teva Sans Light" w:hAnsi="Teva Sans Light" w:cs="Arial"/>
          <w:sz w:val="24"/>
          <w:szCs w:val="24"/>
          <w:lang w:val="fr-FR"/>
        </w:rPr>
        <w:t xml:space="preserve"> une activité pendant que l’activité est dans sa file d’attente (et non avec un réviseur). Pour annuler une activité qui est actuellement avec un réviseur, le demandeur doit inviter le réviseur à «</w:t>
      </w:r>
      <w:r>
        <w:rPr>
          <w:rFonts w:ascii="Teva Sans Light" w:eastAsia="Teva Sans Light" w:hAnsi="Teva Sans Light" w:cs="Arial"/>
          <w:sz w:val="24"/>
          <w:szCs w:val="24"/>
          <w:lang w:val="fr-FR"/>
        </w:rPr>
        <w:t> Demander plus d’informations ». L’activité sera alors renvoyée au demandeur, qui pourra l’annuler dans l’onglet Étape 1 - Détails de l’activité.</w:t>
      </w:r>
    </w:p>
    <w:p w:rsidR="0080579D" w:rsidRDefault="0080579D">
      <w:pPr>
        <w:pStyle w:val="Heading2"/>
        <w:rPr>
          <w:b/>
          <w:lang w:val="fr-FR"/>
        </w:rPr>
      </w:pPr>
    </w:p>
    <w:p w:rsidR="0080579D" w:rsidRDefault="00B847F5">
      <w:pPr>
        <w:pStyle w:val="Heading2"/>
        <w:rPr>
          <w:b/>
        </w:rPr>
      </w:pPr>
      <w:bookmarkStart w:id="11" w:name="_Toc121404952"/>
      <w:r>
        <w:rPr>
          <w:rFonts w:ascii="Calibri Light" w:eastAsia="Calibri Light" w:hAnsi="Calibri Light" w:cs="Times New Roman"/>
          <w:b/>
          <w:bCs/>
          <w:color w:val="2E74B5"/>
          <w:lang w:val="fr-FR"/>
        </w:rPr>
        <w:t>Exigences de dépôt</w:t>
      </w:r>
      <w:bookmarkEnd w:id="11"/>
    </w:p>
    <w:p w:rsidR="0080579D" w:rsidRDefault="00B847F5">
      <w:pPr>
        <w:pStyle w:val="ListParagraph"/>
        <w:numPr>
          <w:ilvl w:val="0"/>
          <w:numId w:val="5"/>
        </w:numPr>
        <w:spacing w:after="20" w:line="240" w:lineRule="auto"/>
        <w:ind w:left="540"/>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 xml:space="preserve">Le concept du conseil consultatif doit être approuvé avant que les fournisseurs de </w:t>
      </w:r>
      <w:r>
        <w:rPr>
          <w:rFonts w:ascii="Teva Sans Light" w:eastAsia="Teva Sans Light" w:hAnsi="Teva Sans Light" w:cs="Calibri"/>
          <w:sz w:val="24"/>
          <w:szCs w:val="24"/>
          <w:lang w:val="fr-FR"/>
        </w:rPr>
        <w:t>services ne soient nommés.</w:t>
      </w:r>
    </w:p>
    <w:p w:rsidR="0080579D" w:rsidRDefault="0080579D">
      <w:pPr>
        <w:spacing w:after="20" w:line="240" w:lineRule="auto"/>
        <w:ind w:left="180"/>
        <w:rPr>
          <w:rFonts w:ascii="Teva Sans Light" w:hAnsi="Teva Sans Light" w:cstheme="minorHAnsi"/>
          <w:sz w:val="24"/>
          <w:szCs w:val="24"/>
          <w:lang w:val="fr-FR"/>
        </w:rPr>
      </w:pPr>
    </w:p>
    <w:p w:rsidR="0080579D" w:rsidRDefault="00B847F5">
      <w:pPr>
        <w:pStyle w:val="ListParagraph"/>
        <w:numPr>
          <w:ilvl w:val="0"/>
          <w:numId w:val="5"/>
        </w:numPr>
        <w:spacing w:after="20" w:line="240" w:lineRule="auto"/>
        <w:ind w:left="540"/>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 xml:space="preserve">Lorsqu’une activité compte plusieurs fournisseurs de services et qu’un fournisseur de services fait l’objet d’une modification </w:t>
      </w:r>
      <w:proofErr w:type="spellStart"/>
      <w:r>
        <w:rPr>
          <w:rFonts w:ascii="Teva Sans Light" w:eastAsia="Teva Sans Light" w:hAnsi="Teva Sans Light" w:cs="Calibri"/>
          <w:sz w:val="24"/>
          <w:szCs w:val="24"/>
          <w:lang w:val="fr-FR"/>
        </w:rPr>
        <w:t>JVM</w:t>
      </w:r>
      <w:proofErr w:type="spellEnd"/>
      <w:r>
        <w:rPr>
          <w:rFonts w:ascii="Teva Sans Light" w:eastAsia="Teva Sans Light" w:hAnsi="Teva Sans Light" w:cs="Calibri"/>
          <w:sz w:val="24"/>
          <w:szCs w:val="24"/>
          <w:lang w:val="fr-FR"/>
        </w:rPr>
        <w:t xml:space="preserve">, tous les autres fournisseurs de services doivent attendre que la modification </w:t>
      </w:r>
      <w:proofErr w:type="spellStart"/>
      <w:r>
        <w:rPr>
          <w:rFonts w:ascii="Teva Sans Light" w:eastAsia="Teva Sans Light" w:hAnsi="Teva Sans Light" w:cs="Calibri"/>
          <w:sz w:val="24"/>
          <w:szCs w:val="24"/>
          <w:lang w:val="fr-FR"/>
        </w:rPr>
        <w:t>JVM</w:t>
      </w:r>
      <w:proofErr w:type="spellEnd"/>
      <w:r>
        <w:rPr>
          <w:rFonts w:ascii="Teva Sans Light" w:eastAsia="Teva Sans Light" w:hAnsi="Teva Sans Light" w:cs="Calibri"/>
          <w:sz w:val="24"/>
          <w:szCs w:val="24"/>
          <w:lang w:val="fr-FR"/>
        </w:rPr>
        <w:t xml:space="preserve"> soit examinée </w:t>
      </w:r>
      <w:r>
        <w:rPr>
          <w:rFonts w:ascii="Teva Sans Light" w:eastAsia="Teva Sans Light" w:hAnsi="Teva Sans Light" w:cs="Calibri"/>
          <w:sz w:val="24"/>
          <w:szCs w:val="24"/>
          <w:lang w:val="fr-FR"/>
        </w:rPr>
        <w:t xml:space="preserve">et qu’une décision soit rendue. </w:t>
      </w:r>
    </w:p>
    <w:p w:rsidR="0080579D" w:rsidRDefault="0080579D">
      <w:pPr>
        <w:spacing w:after="20" w:line="240" w:lineRule="auto"/>
        <w:ind w:left="180"/>
        <w:rPr>
          <w:rFonts w:ascii="Teva Sans Light" w:hAnsi="Teva Sans Light" w:cstheme="minorHAnsi"/>
          <w:sz w:val="24"/>
          <w:szCs w:val="24"/>
          <w:lang w:val="fr-FR"/>
        </w:rPr>
      </w:pPr>
    </w:p>
    <w:p w:rsidR="0080579D" w:rsidRDefault="00B847F5">
      <w:pPr>
        <w:pStyle w:val="ListParagraph"/>
        <w:numPr>
          <w:ilvl w:val="0"/>
          <w:numId w:val="5"/>
        </w:numPr>
        <w:spacing w:after="20" w:line="240" w:lineRule="auto"/>
        <w:ind w:left="540"/>
        <w:contextualSpacing w:val="0"/>
        <w:rPr>
          <w:rFonts w:ascii="Teva Sans Light" w:hAnsi="Teva Sans Light" w:cstheme="minorHAnsi"/>
          <w:sz w:val="24"/>
          <w:szCs w:val="24"/>
          <w:lang w:val="fr-FR"/>
        </w:rPr>
      </w:pPr>
      <w:r>
        <w:rPr>
          <w:rFonts w:ascii="Teva Sans Light" w:eastAsia="Teva Sans Light" w:hAnsi="Teva Sans Light" w:cs="Calibri"/>
          <w:sz w:val="24"/>
          <w:szCs w:val="24"/>
          <w:lang w:val="fr-FR"/>
        </w:rPr>
        <w:t>Les réviseurs peuvent ajouter des commentaires lors de l’approbation d’une activité ; cependant, les commentaires ne sont pas nécessaires pour l’approbation.</w:t>
      </w:r>
    </w:p>
    <w:p w:rsidR="0080579D" w:rsidRDefault="00B847F5">
      <w:pPr>
        <w:rPr>
          <w:rFonts w:ascii="Teva Sans Light" w:hAnsi="Teva Sans Light" w:cstheme="minorHAnsi"/>
          <w:b/>
          <w:sz w:val="24"/>
          <w:szCs w:val="24"/>
          <w:u w:val="single"/>
          <w:lang w:val="fr-FR"/>
        </w:rPr>
      </w:pPr>
      <w:r>
        <w:rPr>
          <w:rFonts w:ascii="Teva Sans Light" w:hAnsi="Teva Sans Light" w:cstheme="minorHAnsi"/>
          <w:b/>
          <w:sz w:val="24"/>
          <w:szCs w:val="24"/>
          <w:u w:val="single"/>
          <w:lang w:val="fr-FR"/>
        </w:rPr>
        <w:br w:type="page"/>
      </w:r>
    </w:p>
    <w:p w:rsidR="0080579D" w:rsidRDefault="00B847F5">
      <w:pPr>
        <w:pStyle w:val="Heading2"/>
        <w:rPr>
          <w:b/>
        </w:rPr>
      </w:pPr>
      <w:bookmarkStart w:id="12" w:name="_Toc121404953"/>
      <w:r>
        <w:rPr>
          <w:rFonts w:ascii="Calibri Light" w:eastAsia="Calibri Light" w:hAnsi="Calibri Light" w:cs="Times New Roman"/>
          <w:b/>
          <w:bCs/>
          <w:color w:val="2E74B5"/>
          <w:lang w:val="fr-FR"/>
        </w:rPr>
        <w:t>Contrôles du système</w:t>
      </w:r>
      <w:bookmarkEnd w:id="12"/>
    </w:p>
    <w:p w:rsidR="0080579D" w:rsidRDefault="00B847F5">
      <w:pPr>
        <w:pStyle w:val="ListParagraph"/>
        <w:numPr>
          <w:ilvl w:val="0"/>
          <w:numId w:val="10"/>
        </w:numPr>
        <w:spacing w:after="20" w:line="240" w:lineRule="auto"/>
        <w:rPr>
          <w:rFonts w:ascii="Teva Sans Light" w:hAnsi="Teva Sans Light" w:cstheme="minorHAnsi"/>
          <w:sz w:val="24"/>
          <w:szCs w:val="24"/>
        </w:rPr>
      </w:pPr>
      <w:r>
        <w:rPr>
          <w:rFonts w:ascii="Teva Sans Light" w:eastAsia="Teva Sans Light" w:hAnsi="Teva Sans Light" w:cs="Calibri"/>
          <w:sz w:val="24"/>
          <w:szCs w:val="24"/>
          <w:lang w:val="fr-FR"/>
        </w:rPr>
        <w:t>Lorsqu’ils saisissent des montants, les u</w:t>
      </w:r>
      <w:r>
        <w:rPr>
          <w:rFonts w:ascii="Teva Sans Light" w:eastAsia="Teva Sans Light" w:hAnsi="Teva Sans Light" w:cs="Calibri"/>
          <w:sz w:val="24"/>
          <w:szCs w:val="24"/>
          <w:lang w:val="fr-FR"/>
        </w:rPr>
        <w:t>tilisateurs ne doivent pas utiliser de séparateurs numériques. Par exemple :</w:t>
      </w:r>
    </w:p>
    <w:p w:rsidR="0080579D" w:rsidRDefault="00B847F5">
      <w:pPr>
        <w:pStyle w:val="ListParagraph"/>
        <w:numPr>
          <w:ilvl w:val="1"/>
          <w:numId w:val="3"/>
        </w:numPr>
        <w:tabs>
          <w:tab w:val="left" w:pos="540"/>
        </w:tabs>
        <w:spacing w:before="240" w:after="20" w:line="240" w:lineRule="auto"/>
        <w:rPr>
          <w:rFonts w:ascii="Teva Sans Light" w:hAnsi="Teva Sans Light" w:cstheme="minorHAnsi"/>
          <w:sz w:val="24"/>
          <w:szCs w:val="24"/>
          <w:u w:val="single"/>
        </w:rPr>
      </w:pPr>
      <w:r>
        <w:rPr>
          <w:rFonts w:ascii="Teva Sans Light" w:eastAsia="Teva Sans Light" w:hAnsi="Teva Sans Light" w:cs="Calibri"/>
          <w:sz w:val="24"/>
          <w:szCs w:val="24"/>
          <w:lang w:val="fr-FR"/>
        </w:rPr>
        <w:t>Ne pas saisir : 100 500,99</w:t>
      </w:r>
    </w:p>
    <w:p w:rsidR="0080579D" w:rsidRDefault="00B847F5">
      <w:pPr>
        <w:pStyle w:val="ListParagraph"/>
        <w:numPr>
          <w:ilvl w:val="1"/>
          <w:numId w:val="3"/>
        </w:numPr>
        <w:tabs>
          <w:tab w:val="left" w:pos="540"/>
        </w:tabs>
        <w:spacing w:before="240" w:after="20" w:line="240" w:lineRule="auto"/>
      </w:pPr>
      <w:r>
        <w:rPr>
          <w:rFonts w:ascii="Teva Sans Light" w:eastAsia="Teva Sans Light" w:hAnsi="Teva Sans Light" w:cs="Calibri"/>
          <w:sz w:val="24"/>
          <w:szCs w:val="24"/>
          <w:lang w:val="fr-FR"/>
        </w:rPr>
        <w:t>Mais plutôt : 100500,99</w:t>
      </w:r>
    </w:p>
    <w:p w:rsidR="0080579D" w:rsidRDefault="00B847F5">
      <w:pPr>
        <w:pStyle w:val="ListParagraph"/>
        <w:numPr>
          <w:ilvl w:val="0"/>
          <w:numId w:val="10"/>
        </w:numPr>
        <w:spacing w:before="240" w:after="20" w:line="240" w:lineRule="auto"/>
        <w:rPr>
          <w:lang w:val="fr-FR"/>
        </w:rPr>
      </w:pPr>
      <w:r>
        <w:rPr>
          <w:rFonts w:ascii="Teva Sans Light" w:eastAsia="Teva Sans Light" w:hAnsi="Teva Sans Light" w:cs="Calibri"/>
          <w:sz w:val="24"/>
          <w:szCs w:val="24"/>
          <w:lang w:val="fr-FR"/>
        </w:rPr>
        <w:t xml:space="preserve">Certains </w:t>
      </w:r>
      <w:r>
        <w:rPr>
          <w:rFonts w:ascii="Calibri" w:eastAsia="Calibri" w:hAnsi="Calibri" w:cs="Calibri"/>
          <w:sz w:val="24"/>
          <w:szCs w:val="24"/>
          <w:lang w:val="fr-FR"/>
        </w:rPr>
        <w:t>pays</w:t>
      </w:r>
      <w:r>
        <w:rPr>
          <w:rFonts w:ascii="Teva Sans Light" w:eastAsia="Teva Sans Light" w:hAnsi="Teva Sans Light" w:cs="Calibri"/>
          <w:sz w:val="24"/>
          <w:szCs w:val="24"/>
          <w:lang w:val="fr-FR"/>
        </w:rPr>
        <w:t xml:space="preserve"> exigent la saisie du produit ou du lieu lors de la clôture. Comme il ne s’agit pas d’une exigence globale et que tous les pays n’exigent pas le produit ou le lieu, veuillez noter que ces champs ne seront pas considérés comme obligatoires sur le modèle Exc</w:t>
      </w:r>
      <w:r>
        <w:rPr>
          <w:rFonts w:ascii="Teva Sans Light" w:eastAsia="Teva Sans Light" w:hAnsi="Teva Sans Light" w:cs="Calibri"/>
          <w:sz w:val="24"/>
          <w:szCs w:val="24"/>
          <w:lang w:val="fr-FR"/>
        </w:rPr>
        <w:t>el à télécharger.</w:t>
      </w:r>
    </w:p>
    <w:p w:rsidR="0080579D" w:rsidRDefault="0080579D">
      <w:pPr>
        <w:pStyle w:val="ListParagraph"/>
        <w:spacing w:after="20" w:line="240" w:lineRule="auto"/>
        <w:contextualSpacing w:val="0"/>
        <w:jc w:val="center"/>
        <w:rPr>
          <w:rFonts w:ascii="Teva Sans Light" w:hAnsi="Teva Sans Light"/>
          <w:b/>
          <w:color w:val="FF0000"/>
          <w:sz w:val="32"/>
          <w:szCs w:val="24"/>
          <w:lang w:val="fr-FR"/>
        </w:rPr>
      </w:pPr>
    </w:p>
    <w:sectPr w:rsidR="0080579D">
      <w:headerReference w:type="default" r:id="rId12"/>
      <w:footerReference w:type="default" r:id="rId13"/>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79D" w:rsidRDefault="00B847F5">
      <w:pPr>
        <w:spacing w:after="0" w:line="240" w:lineRule="auto"/>
      </w:pPr>
      <w:r>
        <w:separator/>
      </w:r>
    </w:p>
  </w:endnote>
  <w:endnote w:type="continuationSeparator" w:id="0">
    <w:p w:rsidR="0080579D" w:rsidRDefault="00B8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eva Sans Light">
    <w:altName w:val="Arial"/>
    <w:panose1 w:val="020B0604030202020203"/>
    <w:charset w:val="00"/>
    <w:family w:val="swiss"/>
    <w:notTrueType/>
    <w:pitch w:val="variable"/>
    <w:sig w:usb0="A000006F" w:usb1="4000207A" w:usb2="00000000" w:usb3="00000000" w:csb0="00000093" w:csb1="00000000"/>
  </w:font>
  <w:font w:name="DengXian">
    <w:altName w:val="等线"/>
    <w:panose1 w:val="02010600030101010101"/>
    <w:charset w:val="86"/>
    <w:family w:val="roman"/>
    <w:notTrueType/>
    <w:pitch w:val="default"/>
  </w:font>
  <w:font w:name="Teva Sans">
    <w:altName w:val="Arial"/>
    <w:panose1 w:val="020B0604030202020203"/>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9D" w:rsidRDefault="00B847F5">
    <w:pPr>
      <w:pStyle w:val="Footer"/>
      <w:rPr>
        <w:lang w:val="fr-FR"/>
      </w:rPr>
    </w:pPr>
    <w:r>
      <w:rPr>
        <w:rFonts w:ascii="Calibri" w:eastAsia="Calibri" w:hAnsi="Calibri" w:cs="Arial"/>
        <w:lang w:val="fr-FR"/>
      </w:rPr>
      <w:t xml:space="preserve">Date de la création :  Novembre 2022           </w:t>
    </w:r>
    <w:r>
      <w:rPr>
        <w:rFonts w:ascii="Calibri" w:eastAsia="Calibri" w:hAnsi="Calibri" w:cs="Arial"/>
        <w:lang w:val="fr-FR"/>
      </w:rPr>
      <w:tab/>
      <w:t xml:space="preserve">Bureau du programme </w:t>
    </w:r>
    <w:proofErr w:type="spellStart"/>
    <w:r>
      <w:rPr>
        <w:rFonts w:ascii="Calibri" w:eastAsia="Calibri" w:hAnsi="Calibri" w:cs="Arial"/>
        <w:lang w:val="fr-FR"/>
      </w:rPr>
      <w:t>GC&amp;E</w:t>
    </w:r>
    <w:proofErr w:type="spellEnd"/>
    <w:r>
      <w:rPr>
        <w:rFonts w:ascii="Calibri" w:eastAsia="Calibri" w:hAnsi="Calibri" w:cs="Arial"/>
        <w:lang w:val="fr-FR"/>
      </w:rPr>
      <w:tab/>
      <w:t>Version :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79D" w:rsidRDefault="00B847F5">
      <w:pPr>
        <w:spacing w:after="0" w:line="240" w:lineRule="auto"/>
      </w:pPr>
      <w:r>
        <w:separator/>
      </w:r>
    </w:p>
  </w:footnote>
  <w:footnote w:type="continuationSeparator" w:id="0">
    <w:p w:rsidR="0080579D" w:rsidRDefault="00B84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9D" w:rsidRDefault="00B847F5">
    <w:pPr>
      <w:pStyle w:val="Header"/>
    </w:pPr>
    <w:r>
      <w:rPr>
        <w:rFonts w:cstheme="minorHAnsi"/>
        <w:noProof/>
      </w:rPr>
      <w:drawing>
        <wp:inline distT="0" distB="0" distL="0" distR="0">
          <wp:extent cx="6478007" cy="699715"/>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t="17557" b="12184"/>
                  <a:stretch>
                    <a:fillRect/>
                  </a:stretch>
                </pic:blipFill>
                <pic:spPr bwMode="auto">
                  <a:xfrm>
                    <a:off x="0" y="0"/>
                    <a:ext cx="6483096" cy="7002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F60"/>
    <w:multiLevelType w:val="hybridMultilevel"/>
    <w:tmpl w:val="F2265D58"/>
    <w:lvl w:ilvl="0" w:tplc="13286BEC">
      <w:start w:val="1"/>
      <w:numFmt w:val="decimal"/>
      <w:lvlText w:val="%1."/>
      <w:lvlJc w:val="left"/>
      <w:pPr>
        <w:ind w:left="720" w:hanging="360"/>
      </w:pPr>
      <w:rPr>
        <w:rFonts w:hint="default"/>
      </w:rPr>
    </w:lvl>
    <w:lvl w:ilvl="1" w:tplc="A7702680">
      <w:start w:val="1"/>
      <w:numFmt w:val="lowerLetter"/>
      <w:lvlText w:val="%2."/>
      <w:lvlJc w:val="left"/>
      <w:pPr>
        <w:ind w:left="1440" w:hanging="360"/>
      </w:pPr>
    </w:lvl>
    <w:lvl w:ilvl="2" w:tplc="5D40C3A0" w:tentative="1">
      <w:start w:val="1"/>
      <w:numFmt w:val="lowerRoman"/>
      <w:lvlText w:val="%3."/>
      <w:lvlJc w:val="right"/>
      <w:pPr>
        <w:ind w:left="2160" w:hanging="180"/>
      </w:pPr>
    </w:lvl>
    <w:lvl w:ilvl="3" w:tplc="54C8D738" w:tentative="1">
      <w:start w:val="1"/>
      <w:numFmt w:val="decimal"/>
      <w:lvlText w:val="%4."/>
      <w:lvlJc w:val="left"/>
      <w:pPr>
        <w:ind w:left="2880" w:hanging="360"/>
      </w:pPr>
    </w:lvl>
    <w:lvl w:ilvl="4" w:tplc="126E7982" w:tentative="1">
      <w:start w:val="1"/>
      <w:numFmt w:val="lowerLetter"/>
      <w:lvlText w:val="%5."/>
      <w:lvlJc w:val="left"/>
      <w:pPr>
        <w:ind w:left="3600" w:hanging="360"/>
      </w:pPr>
    </w:lvl>
    <w:lvl w:ilvl="5" w:tplc="D1462274" w:tentative="1">
      <w:start w:val="1"/>
      <w:numFmt w:val="lowerRoman"/>
      <w:lvlText w:val="%6."/>
      <w:lvlJc w:val="right"/>
      <w:pPr>
        <w:ind w:left="4320" w:hanging="180"/>
      </w:pPr>
    </w:lvl>
    <w:lvl w:ilvl="6" w:tplc="1A0ECDDA" w:tentative="1">
      <w:start w:val="1"/>
      <w:numFmt w:val="decimal"/>
      <w:lvlText w:val="%7."/>
      <w:lvlJc w:val="left"/>
      <w:pPr>
        <w:ind w:left="5040" w:hanging="360"/>
      </w:pPr>
    </w:lvl>
    <w:lvl w:ilvl="7" w:tplc="A95E23FE" w:tentative="1">
      <w:start w:val="1"/>
      <w:numFmt w:val="lowerLetter"/>
      <w:lvlText w:val="%8."/>
      <w:lvlJc w:val="left"/>
      <w:pPr>
        <w:ind w:left="5760" w:hanging="360"/>
      </w:pPr>
    </w:lvl>
    <w:lvl w:ilvl="8" w:tplc="18D876E4" w:tentative="1">
      <w:start w:val="1"/>
      <w:numFmt w:val="lowerRoman"/>
      <w:lvlText w:val="%9."/>
      <w:lvlJc w:val="right"/>
      <w:pPr>
        <w:ind w:left="6480" w:hanging="180"/>
      </w:pPr>
    </w:lvl>
  </w:abstractNum>
  <w:abstractNum w:abstractNumId="1" w15:restartNumberingAfterBreak="0">
    <w:nsid w:val="10123EFB"/>
    <w:multiLevelType w:val="hybridMultilevel"/>
    <w:tmpl w:val="F2265D58"/>
    <w:lvl w:ilvl="0" w:tplc="5240E92E">
      <w:start w:val="1"/>
      <w:numFmt w:val="decimal"/>
      <w:lvlText w:val="%1."/>
      <w:lvlJc w:val="left"/>
      <w:pPr>
        <w:ind w:left="720" w:hanging="360"/>
      </w:pPr>
      <w:rPr>
        <w:rFonts w:hint="default"/>
      </w:rPr>
    </w:lvl>
    <w:lvl w:ilvl="1" w:tplc="4C221AE2">
      <w:start w:val="1"/>
      <w:numFmt w:val="lowerLetter"/>
      <w:lvlText w:val="%2."/>
      <w:lvlJc w:val="left"/>
      <w:pPr>
        <w:ind w:left="1440" w:hanging="360"/>
      </w:pPr>
    </w:lvl>
    <w:lvl w:ilvl="2" w:tplc="C34EFA4A" w:tentative="1">
      <w:start w:val="1"/>
      <w:numFmt w:val="lowerRoman"/>
      <w:lvlText w:val="%3."/>
      <w:lvlJc w:val="right"/>
      <w:pPr>
        <w:ind w:left="2160" w:hanging="180"/>
      </w:pPr>
    </w:lvl>
    <w:lvl w:ilvl="3" w:tplc="ADA2BF88" w:tentative="1">
      <w:start w:val="1"/>
      <w:numFmt w:val="decimal"/>
      <w:lvlText w:val="%4."/>
      <w:lvlJc w:val="left"/>
      <w:pPr>
        <w:ind w:left="2880" w:hanging="360"/>
      </w:pPr>
    </w:lvl>
    <w:lvl w:ilvl="4" w:tplc="7A2EC444" w:tentative="1">
      <w:start w:val="1"/>
      <w:numFmt w:val="lowerLetter"/>
      <w:lvlText w:val="%5."/>
      <w:lvlJc w:val="left"/>
      <w:pPr>
        <w:ind w:left="3600" w:hanging="360"/>
      </w:pPr>
    </w:lvl>
    <w:lvl w:ilvl="5" w:tplc="121AC348" w:tentative="1">
      <w:start w:val="1"/>
      <w:numFmt w:val="lowerRoman"/>
      <w:lvlText w:val="%6."/>
      <w:lvlJc w:val="right"/>
      <w:pPr>
        <w:ind w:left="4320" w:hanging="180"/>
      </w:pPr>
    </w:lvl>
    <w:lvl w:ilvl="6" w:tplc="1A08259E" w:tentative="1">
      <w:start w:val="1"/>
      <w:numFmt w:val="decimal"/>
      <w:lvlText w:val="%7."/>
      <w:lvlJc w:val="left"/>
      <w:pPr>
        <w:ind w:left="5040" w:hanging="360"/>
      </w:pPr>
    </w:lvl>
    <w:lvl w:ilvl="7" w:tplc="79205932" w:tentative="1">
      <w:start w:val="1"/>
      <w:numFmt w:val="lowerLetter"/>
      <w:lvlText w:val="%8."/>
      <w:lvlJc w:val="left"/>
      <w:pPr>
        <w:ind w:left="5760" w:hanging="360"/>
      </w:pPr>
    </w:lvl>
    <w:lvl w:ilvl="8" w:tplc="6D806A00" w:tentative="1">
      <w:start w:val="1"/>
      <w:numFmt w:val="lowerRoman"/>
      <w:lvlText w:val="%9."/>
      <w:lvlJc w:val="right"/>
      <w:pPr>
        <w:ind w:left="6480" w:hanging="180"/>
      </w:pPr>
    </w:lvl>
  </w:abstractNum>
  <w:abstractNum w:abstractNumId="2" w15:restartNumberingAfterBreak="0">
    <w:nsid w:val="1C1035C2"/>
    <w:multiLevelType w:val="hybridMultilevel"/>
    <w:tmpl w:val="37AE695A"/>
    <w:lvl w:ilvl="0" w:tplc="E68C3BBC">
      <w:start w:val="1"/>
      <w:numFmt w:val="lowerLetter"/>
      <w:lvlText w:val="%1)"/>
      <w:lvlJc w:val="left"/>
      <w:pPr>
        <w:ind w:left="720" w:hanging="360"/>
      </w:pPr>
      <w:rPr>
        <w:rFonts w:hint="default"/>
        <w:color w:val="auto"/>
        <w:w w:val="101"/>
        <w:sz w:val="22"/>
        <w:szCs w:val="22"/>
      </w:rPr>
    </w:lvl>
    <w:lvl w:ilvl="1" w:tplc="01E4E642">
      <w:start w:val="1"/>
      <w:numFmt w:val="lowerLetter"/>
      <w:lvlText w:val="%2."/>
      <w:lvlJc w:val="left"/>
      <w:pPr>
        <w:ind w:left="1440" w:hanging="360"/>
      </w:pPr>
    </w:lvl>
    <w:lvl w:ilvl="2" w:tplc="1786B0C0" w:tentative="1">
      <w:start w:val="1"/>
      <w:numFmt w:val="lowerRoman"/>
      <w:lvlText w:val="%3."/>
      <w:lvlJc w:val="right"/>
      <w:pPr>
        <w:ind w:left="2160" w:hanging="180"/>
      </w:pPr>
    </w:lvl>
    <w:lvl w:ilvl="3" w:tplc="2C287348" w:tentative="1">
      <w:start w:val="1"/>
      <w:numFmt w:val="decimal"/>
      <w:lvlText w:val="%4."/>
      <w:lvlJc w:val="left"/>
      <w:pPr>
        <w:ind w:left="2880" w:hanging="360"/>
      </w:pPr>
    </w:lvl>
    <w:lvl w:ilvl="4" w:tplc="196CCAC4" w:tentative="1">
      <w:start w:val="1"/>
      <w:numFmt w:val="lowerLetter"/>
      <w:lvlText w:val="%5."/>
      <w:lvlJc w:val="left"/>
      <w:pPr>
        <w:ind w:left="3600" w:hanging="360"/>
      </w:pPr>
    </w:lvl>
    <w:lvl w:ilvl="5" w:tplc="3B42AC8C" w:tentative="1">
      <w:start w:val="1"/>
      <w:numFmt w:val="lowerRoman"/>
      <w:lvlText w:val="%6."/>
      <w:lvlJc w:val="right"/>
      <w:pPr>
        <w:ind w:left="4320" w:hanging="180"/>
      </w:pPr>
    </w:lvl>
    <w:lvl w:ilvl="6" w:tplc="0B8680C6" w:tentative="1">
      <w:start w:val="1"/>
      <w:numFmt w:val="decimal"/>
      <w:lvlText w:val="%7."/>
      <w:lvlJc w:val="left"/>
      <w:pPr>
        <w:ind w:left="5040" w:hanging="360"/>
      </w:pPr>
    </w:lvl>
    <w:lvl w:ilvl="7" w:tplc="9FAABB60" w:tentative="1">
      <w:start w:val="1"/>
      <w:numFmt w:val="lowerLetter"/>
      <w:lvlText w:val="%8."/>
      <w:lvlJc w:val="left"/>
      <w:pPr>
        <w:ind w:left="5760" w:hanging="360"/>
      </w:pPr>
    </w:lvl>
    <w:lvl w:ilvl="8" w:tplc="E64A5218" w:tentative="1">
      <w:start w:val="1"/>
      <w:numFmt w:val="lowerRoman"/>
      <w:lvlText w:val="%9."/>
      <w:lvlJc w:val="right"/>
      <w:pPr>
        <w:ind w:left="6480" w:hanging="180"/>
      </w:pPr>
    </w:lvl>
  </w:abstractNum>
  <w:abstractNum w:abstractNumId="3" w15:restartNumberingAfterBreak="0">
    <w:nsid w:val="2D514191"/>
    <w:multiLevelType w:val="hybridMultilevel"/>
    <w:tmpl w:val="1DA81C00"/>
    <w:lvl w:ilvl="0" w:tplc="21263B7E">
      <w:start w:val="1"/>
      <w:numFmt w:val="decimal"/>
      <w:lvlText w:val="%1."/>
      <w:lvlJc w:val="left"/>
      <w:pPr>
        <w:ind w:left="720" w:hanging="360"/>
      </w:pPr>
    </w:lvl>
    <w:lvl w:ilvl="1" w:tplc="AF9A4940" w:tentative="1">
      <w:start w:val="1"/>
      <w:numFmt w:val="lowerLetter"/>
      <w:lvlText w:val="%2."/>
      <w:lvlJc w:val="left"/>
      <w:pPr>
        <w:ind w:left="1440" w:hanging="360"/>
      </w:pPr>
    </w:lvl>
    <w:lvl w:ilvl="2" w:tplc="95AEA3E2" w:tentative="1">
      <w:start w:val="1"/>
      <w:numFmt w:val="lowerRoman"/>
      <w:lvlText w:val="%3."/>
      <w:lvlJc w:val="right"/>
      <w:pPr>
        <w:ind w:left="2160" w:hanging="180"/>
      </w:pPr>
    </w:lvl>
    <w:lvl w:ilvl="3" w:tplc="89BC552C" w:tentative="1">
      <w:start w:val="1"/>
      <w:numFmt w:val="decimal"/>
      <w:lvlText w:val="%4."/>
      <w:lvlJc w:val="left"/>
      <w:pPr>
        <w:ind w:left="2880" w:hanging="360"/>
      </w:pPr>
    </w:lvl>
    <w:lvl w:ilvl="4" w:tplc="DC786948" w:tentative="1">
      <w:start w:val="1"/>
      <w:numFmt w:val="lowerLetter"/>
      <w:lvlText w:val="%5."/>
      <w:lvlJc w:val="left"/>
      <w:pPr>
        <w:ind w:left="3600" w:hanging="360"/>
      </w:pPr>
    </w:lvl>
    <w:lvl w:ilvl="5" w:tplc="83AAA594" w:tentative="1">
      <w:start w:val="1"/>
      <w:numFmt w:val="lowerRoman"/>
      <w:lvlText w:val="%6."/>
      <w:lvlJc w:val="right"/>
      <w:pPr>
        <w:ind w:left="4320" w:hanging="180"/>
      </w:pPr>
    </w:lvl>
    <w:lvl w:ilvl="6" w:tplc="92985E2A" w:tentative="1">
      <w:start w:val="1"/>
      <w:numFmt w:val="decimal"/>
      <w:lvlText w:val="%7."/>
      <w:lvlJc w:val="left"/>
      <w:pPr>
        <w:ind w:left="5040" w:hanging="360"/>
      </w:pPr>
    </w:lvl>
    <w:lvl w:ilvl="7" w:tplc="D31A1628" w:tentative="1">
      <w:start w:val="1"/>
      <w:numFmt w:val="lowerLetter"/>
      <w:lvlText w:val="%8."/>
      <w:lvlJc w:val="left"/>
      <w:pPr>
        <w:ind w:left="5760" w:hanging="360"/>
      </w:pPr>
    </w:lvl>
    <w:lvl w:ilvl="8" w:tplc="63485A56" w:tentative="1">
      <w:start w:val="1"/>
      <w:numFmt w:val="lowerRoman"/>
      <w:lvlText w:val="%9."/>
      <w:lvlJc w:val="right"/>
      <w:pPr>
        <w:ind w:left="6480" w:hanging="180"/>
      </w:pPr>
    </w:lvl>
  </w:abstractNum>
  <w:abstractNum w:abstractNumId="4" w15:restartNumberingAfterBreak="0">
    <w:nsid w:val="43556145"/>
    <w:multiLevelType w:val="hybridMultilevel"/>
    <w:tmpl w:val="BE1252C6"/>
    <w:lvl w:ilvl="0" w:tplc="DF8A4A8C">
      <w:start w:val="1"/>
      <w:numFmt w:val="bullet"/>
      <w:lvlText w:val=""/>
      <w:lvlJc w:val="left"/>
      <w:pPr>
        <w:ind w:left="1440" w:hanging="360"/>
      </w:pPr>
      <w:rPr>
        <w:rFonts w:ascii="Symbol" w:hAnsi="Symbol" w:hint="default"/>
      </w:rPr>
    </w:lvl>
    <w:lvl w:ilvl="1" w:tplc="39967A08" w:tentative="1">
      <w:start w:val="1"/>
      <w:numFmt w:val="bullet"/>
      <w:lvlText w:val="o"/>
      <w:lvlJc w:val="left"/>
      <w:pPr>
        <w:ind w:left="2160" w:hanging="360"/>
      </w:pPr>
      <w:rPr>
        <w:rFonts w:ascii="Courier New" w:hAnsi="Courier New" w:cs="Courier New" w:hint="default"/>
      </w:rPr>
    </w:lvl>
    <w:lvl w:ilvl="2" w:tplc="21365CBE" w:tentative="1">
      <w:start w:val="1"/>
      <w:numFmt w:val="bullet"/>
      <w:lvlText w:val=""/>
      <w:lvlJc w:val="left"/>
      <w:pPr>
        <w:ind w:left="2880" w:hanging="360"/>
      </w:pPr>
      <w:rPr>
        <w:rFonts w:ascii="Wingdings" w:hAnsi="Wingdings" w:hint="default"/>
      </w:rPr>
    </w:lvl>
    <w:lvl w:ilvl="3" w:tplc="66D0B5C6" w:tentative="1">
      <w:start w:val="1"/>
      <w:numFmt w:val="bullet"/>
      <w:lvlText w:val=""/>
      <w:lvlJc w:val="left"/>
      <w:pPr>
        <w:ind w:left="3600" w:hanging="360"/>
      </w:pPr>
      <w:rPr>
        <w:rFonts w:ascii="Symbol" w:hAnsi="Symbol" w:hint="default"/>
      </w:rPr>
    </w:lvl>
    <w:lvl w:ilvl="4" w:tplc="1D3E28D2" w:tentative="1">
      <w:start w:val="1"/>
      <w:numFmt w:val="bullet"/>
      <w:lvlText w:val="o"/>
      <w:lvlJc w:val="left"/>
      <w:pPr>
        <w:ind w:left="4320" w:hanging="360"/>
      </w:pPr>
      <w:rPr>
        <w:rFonts w:ascii="Courier New" w:hAnsi="Courier New" w:cs="Courier New" w:hint="default"/>
      </w:rPr>
    </w:lvl>
    <w:lvl w:ilvl="5" w:tplc="7CB0C8F0" w:tentative="1">
      <w:start w:val="1"/>
      <w:numFmt w:val="bullet"/>
      <w:lvlText w:val=""/>
      <w:lvlJc w:val="left"/>
      <w:pPr>
        <w:ind w:left="5040" w:hanging="360"/>
      </w:pPr>
      <w:rPr>
        <w:rFonts w:ascii="Wingdings" w:hAnsi="Wingdings" w:hint="default"/>
      </w:rPr>
    </w:lvl>
    <w:lvl w:ilvl="6" w:tplc="5A26E806" w:tentative="1">
      <w:start w:val="1"/>
      <w:numFmt w:val="bullet"/>
      <w:lvlText w:val=""/>
      <w:lvlJc w:val="left"/>
      <w:pPr>
        <w:ind w:left="5760" w:hanging="360"/>
      </w:pPr>
      <w:rPr>
        <w:rFonts w:ascii="Symbol" w:hAnsi="Symbol" w:hint="default"/>
      </w:rPr>
    </w:lvl>
    <w:lvl w:ilvl="7" w:tplc="F09ACEBE" w:tentative="1">
      <w:start w:val="1"/>
      <w:numFmt w:val="bullet"/>
      <w:lvlText w:val="o"/>
      <w:lvlJc w:val="left"/>
      <w:pPr>
        <w:ind w:left="6480" w:hanging="360"/>
      </w:pPr>
      <w:rPr>
        <w:rFonts w:ascii="Courier New" w:hAnsi="Courier New" w:cs="Courier New" w:hint="default"/>
      </w:rPr>
    </w:lvl>
    <w:lvl w:ilvl="8" w:tplc="D9F66A12" w:tentative="1">
      <w:start w:val="1"/>
      <w:numFmt w:val="bullet"/>
      <w:lvlText w:val=""/>
      <w:lvlJc w:val="left"/>
      <w:pPr>
        <w:ind w:left="7200" w:hanging="360"/>
      </w:pPr>
      <w:rPr>
        <w:rFonts w:ascii="Wingdings" w:hAnsi="Wingdings" w:hint="default"/>
      </w:rPr>
    </w:lvl>
  </w:abstractNum>
  <w:abstractNum w:abstractNumId="5" w15:restartNumberingAfterBreak="0">
    <w:nsid w:val="50B57767"/>
    <w:multiLevelType w:val="hybridMultilevel"/>
    <w:tmpl w:val="1DA81C00"/>
    <w:lvl w:ilvl="0" w:tplc="CC78A990">
      <w:start w:val="1"/>
      <w:numFmt w:val="decimal"/>
      <w:lvlText w:val="%1."/>
      <w:lvlJc w:val="left"/>
      <w:pPr>
        <w:ind w:left="720" w:hanging="360"/>
      </w:pPr>
    </w:lvl>
    <w:lvl w:ilvl="1" w:tplc="75E8A56E">
      <w:start w:val="1"/>
      <w:numFmt w:val="lowerLetter"/>
      <w:lvlText w:val="%2."/>
      <w:lvlJc w:val="left"/>
      <w:pPr>
        <w:ind w:left="1440" w:hanging="360"/>
      </w:pPr>
    </w:lvl>
    <w:lvl w:ilvl="2" w:tplc="FA38E6D4" w:tentative="1">
      <w:start w:val="1"/>
      <w:numFmt w:val="lowerRoman"/>
      <w:lvlText w:val="%3."/>
      <w:lvlJc w:val="right"/>
      <w:pPr>
        <w:ind w:left="2160" w:hanging="180"/>
      </w:pPr>
    </w:lvl>
    <w:lvl w:ilvl="3" w:tplc="FE9070A6" w:tentative="1">
      <w:start w:val="1"/>
      <w:numFmt w:val="decimal"/>
      <w:lvlText w:val="%4."/>
      <w:lvlJc w:val="left"/>
      <w:pPr>
        <w:ind w:left="2880" w:hanging="360"/>
      </w:pPr>
    </w:lvl>
    <w:lvl w:ilvl="4" w:tplc="17C687A0" w:tentative="1">
      <w:start w:val="1"/>
      <w:numFmt w:val="lowerLetter"/>
      <w:lvlText w:val="%5."/>
      <w:lvlJc w:val="left"/>
      <w:pPr>
        <w:ind w:left="3600" w:hanging="360"/>
      </w:pPr>
    </w:lvl>
    <w:lvl w:ilvl="5" w:tplc="96CA3C98" w:tentative="1">
      <w:start w:val="1"/>
      <w:numFmt w:val="lowerRoman"/>
      <w:lvlText w:val="%6."/>
      <w:lvlJc w:val="right"/>
      <w:pPr>
        <w:ind w:left="4320" w:hanging="180"/>
      </w:pPr>
    </w:lvl>
    <w:lvl w:ilvl="6" w:tplc="FE1AAE50" w:tentative="1">
      <w:start w:val="1"/>
      <w:numFmt w:val="decimal"/>
      <w:lvlText w:val="%7."/>
      <w:lvlJc w:val="left"/>
      <w:pPr>
        <w:ind w:left="5040" w:hanging="360"/>
      </w:pPr>
    </w:lvl>
    <w:lvl w:ilvl="7" w:tplc="BA9A179C" w:tentative="1">
      <w:start w:val="1"/>
      <w:numFmt w:val="lowerLetter"/>
      <w:lvlText w:val="%8."/>
      <w:lvlJc w:val="left"/>
      <w:pPr>
        <w:ind w:left="5760" w:hanging="360"/>
      </w:pPr>
    </w:lvl>
    <w:lvl w:ilvl="8" w:tplc="3E500802" w:tentative="1">
      <w:start w:val="1"/>
      <w:numFmt w:val="lowerRoman"/>
      <w:lvlText w:val="%9."/>
      <w:lvlJc w:val="right"/>
      <w:pPr>
        <w:ind w:left="6480" w:hanging="180"/>
      </w:pPr>
    </w:lvl>
  </w:abstractNum>
  <w:abstractNum w:abstractNumId="6" w15:restartNumberingAfterBreak="0">
    <w:nsid w:val="53633A8D"/>
    <w:multiLevelType w:val="hybridMultilevel"/>
    <w:tmpl w:val="50347262"/>
    <w:lvl w:ilvl="0" w:tplc="D82A683E">
      <w:start w:val="1"/>
      <w:numFmt w:val="decimal"/>
      <w:lvlText w:val="%1."/>
      <w:lvlJc w:val="left"/>
      <w:pPr>
        <w:ind w:left="540" w:hanging="360"/>
      </w:pPr>
    </w:lvl>
    <w:lvl w:ilvl="1" w:tplc="81F2C236">
      <w:start w:val="1"/>
      <w:numFmt w:val="lowerLetter"/>
      <w:lvlText w:val="%2."/>
      <w:lvlJc w:val="left"/>
      <w:pPr>
        <w:ind w:left="1260" w:hanging="360"/>
      </w:pPr>
    </w:lvl>
    <w:lvl w:ilvl="2" w:tplc="4072E2FC" w:tentative="1">
      <w:start w:val="1"/>
      <w:numFmt w:val="lowerRoman"/>
      <w:lvlText w:val="%3."/>
      <w:lvlJc w:val="right"/>
      <w:pPr>
        <w:ind w:left="1980" w:hanging="180"/>
      </w:pPr>
    </w:lvl>
    <w:lvl w:ilvl="3" w:tplc="8D963666" w:tentative="1">
      <w:start w:val="1"/>
      <w:numFmt w:val="decimal"/>
      <w:lvlText w:val="%4."/>
      <w:lvlJc w:val="left"/>
      <w:pPr>
        <w:ind w:left="2700" w:hanging="360"/>
      </w:pPr>
    </w:lvl>
    <w:lvl w:ilvl="4" w:tplc="6DBE718E" w:tentative="1">
      <w:start w:val="1"/>
      <w:numFmt w:val="lowerLetter"/>
      <w:lvlText w:val="%5."/>
      <w:lvlJc w:val="left"/>
      <w:pPr>
        <w:ind w:left="3420" w:hanging="360"/>
      </w:pPr>
    </w:lvl>
    <w:lvl w:ilvl="5" w:tplc="BDA286E4" w:tentative="1">
      <w:start w:val="1"/>
      <w:numFmt w:val="lowerRoman"/>
      <w:lvlText w:val="%6."/>
      <w:lvlJc w:val="right"/>
      <w:pPr>
        <w:ind w:left="4140" w:hanging="180"/>
      </w:pPr>
    </w:lvl>
    <w:lvl w:ilvl="6" w:tplc="3C529424" w:tentative="1">
      <w:start w:val="1"/>
      <w:numFmt w:val="decimal"/>
      <w:lvlText w:val="%7."/>
      <w:lvlJc w:val="left"/>
      <w:pPr>
        <w:ind w:left="4860" w:hanging="360"/>
      </w:pPr>
    </w:lvl>
    <w:lvl w:ilvl="7" w:tplc="B2027926" w:tentative="1">
      <w:start w:val="1"/>
      <w:numFmt w:val="lowerLetter"/>
      <w:lvlText w:val="%8."/>
      <w:lvlJc w:val="left"/>
      <w:pPr>
        <w:ind w:left="5580" w:hanging="360"/>
      </w:pPr>
    </w:lvl>
    <w:lvl w:ilvl="8" w:tplc="17DE2566" w:tentative="1">
      <w:start w:val="1"/>
      <w:numFmt w:val="lowerRoman"/>
      <w:lvlText w:val="%9."/>
      <w:lvlJc w:val="right"/>
      <w:pPr>
        <w:ind w:left="6300" w:hanging="180"/>
      </w:pPr>
    </w:lvl>
  </w:abstractNum>
  <w:abstractNum w:abstractNumId="7" w15:restartNumberingAfterBreak="0">
    <w:nsid w:val="654A229F"/>
    <w:multiLevelType w:val="hybridMultilevel"/>
    <w:tmpl w:val="503CA406"/>
    <w:lvl w:ilvl="0" w:tplc="1E6C9D5E">
      <w:start w:val="1"/>
      <w:numFmt w:val="decimal"/>
      <w:lvlText w:val="%1."/>
      <w:lvlJc w:val="left"/>
      <w:pPr>
        <w:ind w:left="720" w:hanging="360"/>
      </w:pPr>
    </w:lvl>
    <w:lvl w:ilvl="1" w:tplc="BF0E314A">
      <w:start w:val="1"/>
      <w:numFmt w:val="lowerLetter"/>
      <w:lvlText w:val="%2."/>
      <w:lvlJc w:val="left"/>
      <w:pPr>
        <w:ind w:left="1440" w:hanging="360"/>
      </w:pPr>
    </w:lvl>
    <w:lvl w:ilvl="2" w:tplc="6E4CBF88" w:tentative="1">
      <w:start w:val="1"/>
      <w:numFmt w:val="lowerRoman"/>
      <w:lvlText w:val="%3."/>
      <w:lvlJc w:val="right"/>
      <w:pPr>
        <w:ind w:left="2160" w:hanging="180"/>
      </w:pPr>
    </w:lvl>
    <w:lvl w:ilvl="3" w:tplc="3B6064E6" w:tentative="1">
      <w:start w:val="1"/>
      <w:numFmt w:val="decimal"/>
      <w:lvlText w:val="%4."/>
      <w:lvlJc w:val="left"/>
      <w:pPr>
        <w:ind w:left="2880" w:hanging="360"/>
      </w:pPr>
    </w:lvl>
    <w:lvl w:ilvl="4" w:tplc="2E6AE138" w:tentative="1">
      <w:start w:val="1"/>
      <w:numFmt w:val="lowerLetter"/>
      <w:lvlText w:val="%5."/>
      <w:lvlJc w:val="left"/>
      <w:pPr>
        <w:ind w:left="3600" w:hanging="360"/>
      </w:pPr>
    </w:lvl>
    <w:lvl w:ilvl="5" w:tplc="DB28465C" w:tentative="1">
      <w:start w:val="1"/>
      <w:numFmt w:val="lowerRoman"/>
      <w:lvlText w:val="%6."/>
      <w:lvlJc w:val="right"/>
      <w:pPr>
        <w:ind w:left="4320" w:hanging="180"/>
      </w:pPr>
    </w:lvl>
    <w:lvl w:ilvl="6" w:tplc="9CE0E41C" w:tentative="1">
      <w:start w:val="1"/>
      <w:numFmt w:val="decimal"/>
      <w:lvlText w:val="%7."/>
      <w:lvlJc w:val="left"/>
      <w:pPr>
        <w:ind w:left="5040" w:hanging="360"/>
      </w:pPr>
    </w:lvl>
    <w:lvl w:ilvl="7" w:tplc="A1A6CF76" w:tentative="1">
      <w:start w:val="1"/>
      <w:numFmt w:val="lowerLetter"/>
      <w:lvlText w:val="%8."/>
      <w:lvlJc w:val="left"/>
      <w:pPr>
        <w:ind w:left="5760" w:hanging="360"/>
      </w:pPr>
    </w:lvl>
    <w:lvl w:ilvl="8" w:tplc="6472E5D0" w:tentative="1">
      <w:start w:val="1"/>
      <w:numFmt w:val="lowerRoman"/>
      <w:lvlText w:val="%9."/>
      <w:lvlJc w:val="right"/>
      <w:pPr>
        <w:ind w:left="6480" w:hanging="180"/>
      </w:pPr>
    </w:lvl>
  </w:abstractNum>
  <w:abstractNum w:abstractNumId="8" w15:restartNumberingAfterBreak="0">
    <w:nsid w:val="68EB4A54"/>
    <w:multiLevelType w:val="hybridMultilevel"/>
    <w:tmpl w:val="50347262"/>
    <w:lvl w:ilvl="0" w:tplc="3D94BAFE">
      <w:start w:val="1"/>
      <w:numFmt w:val="decimal"/>
      <w:lvlText w:val="%1."/>
      <w:lvlJc w:val="left"/>
      <w:pPr>
        <w:ind w:left="540" w:hanging="360"/>
      </w:pPr>
    </w:lvl>
    <w:lvl w:ilvl="1" w:tplc="17EE5AC4">
      <w:start w:val="1"/>
      <w:numFmt w:val="lowerLetter"/>
      <w:lvlText w:val="%2."/>
      <w:lvlJc w:val="left"/>
      <w:pPr>
        <w:ind w:left="1260" w:hanging="360"/>
      </w:pPr>
    </w:lvl>
    <w:lvl w:ilvl="2" w:tplc="98EC375A" w:tentative="1">
      <w:start w:val="1"/>
      <w:numFmt w:val="lowerRoman"/>
      <w:lvlText w:val="%3."/>
      <w:lvlJc w:val="right"/>
      <w:pPr>
        <w:ind w:left="1980" w:hanging="180"/>
      </w:pPr>
    </w:lvl>
    <w:lvl w:ilvl="3" w:tplc="DB8647FE" w:tentative="1">
      <w:start w:val="1"/>
      <w:numFmt w:val="decimal"/>
      <w:lvlText w:val="%4."/>
      <w:lvlJc w:val="left"/>
      <w:pPr>
        <w:ind w:left="2700" w:hanging="360"/>
      </w:pPr>
    </w:lvl>
    <w:lvl w:ilvl="4" w:tplc="385800DC" w:tentative="1">
      <w:start w:val="1"/>
      <w:numFmt w:val="lowerLetter"/>
      <w:lvlText w:val="%5."/>
      <w:lvlJc w:val="left"/>
      <w:pPr>
        <w:ind w:left="3420" w:hanging="360"/>
      </w:pPr>
    </w:lvl>
    <w:lvl w:ilvl="5" w:tplc="355EC9C0" w:tentative="1">
      <w:start w:val="1"/>
      <w:numFmt w:val="lowerRoman"/>
      <w:lvlText w:val="%6."/>
      <w:lvlJc w:val="right"/>
      <w:pPr>
        <w:ind w:left="4140" w:hanging="180"/>
      </w:pPr>
    </w:lvl>
    <w:lvl w:ilvl="6" w:tplc="3F784F7E" w:tentative="1">
      <w:start w:val="1"/>
      <w:numFmt w:val="decimal"/>
      <w:lvlText w:val="%7."/>
      <w:lvlJc w:val="left"/>
      <w:pPr>
        <w:ind w:left="4860" w:hanging="360"/>
      </w:pPr>
    </w:lvl>
    <w:lvl w:ilvl="7" w:tplc="F140E330" w:tentative="1">
      <w:start w:val="1"/>
      <w:numFmt w:val="lowerLetter"/>
      <w:lvlText w:val="%8."/>
      <w:lvlJc w:val="left"/>
      <w:pPr>
        <w:ind w:left="5580" w:hanging="360"/>
      </w:pPr>
    </w:lvl>
    <w:lvl w:ilvl="8" w:tplc="4D703F92" w:tentative="1">
      <w:start w:val="1"/>
      <w:numFmt w:val="lowerRoman"/>
      <w:lvlText w:val="%9."/>
      <w:lvlJc w:val="right"/>
      <w:pPr>
        <w:ind w:left="6300" w:hanging="180"/>
      </w:pPr>
    </w:lvl>
  </w:abstractNum>
  <w:abstractNum w:abstractNumId="9" w15:restartNumberingAfterBreak="0">
    <w:nsid w:val="7E8E60CA"/>
    <w:multiLevelType w:val="hybridMultilevel"/>
    <w:tmpl w:val="1DA81C00"/>
    <w:lvl w:ilvl="0" w:tplc="11381800">
      <w:start w:val="1"/>
      <w:numFmt w:val="decimal"/>
      <w:lvlText w:val="%1."/>
      <w:lvlJc w:val="left"/>
      <w:pPr>
        <w:ind w:left="720" w:hanging="360"/>
      </w:pPr>
    </w:lvl>
    <w:lvl w:ilvl="1" w:tplc="1358631C">
      <w:start w:val="1"/>
      <w:numFmt w:val="lowerLetter"/>
      <w:lvlText w:val="%2."/>
      <w:lvlJc w:val="left"/>
      <w:pPr>
        <w:ind w:left="1440" w:hanging="360"/>
      </w:pPr>
    </w:lvl>
    <w:lvl w:ilvl="2" w:tplc="B934AD6E">
      <w:start w:val="1"/>
      <w:numFmt w:val="lowerRoman"/>
      <w:lvlText w:val="%3."/>
      <w:lvlJc w:val="right"/>
      <w:pPr>
        <w:ind w:left="2160" w:hanging="180"/>
      </w:pPr>
    </w:lvl>
    <w:lvl w:ilvl="3" w:tplc="0742CF78" w:tentative="1">
      <w:start w:val="1"/>
      <w:numFmt w:val="decimal"/>
      <w:lvlText w:val="%4."/>
      <w:lvlJc w:val="left"/>
      <w:pPr>
        <w:ind w:left="2880" w:hanging="360"/>
      </w:pPr>
    </w:lvl>
    <w:lvl w:ilvl="4" w:tplc="A8B6EA6A" w:tentative="1">
      <w:start w:val="1"/>
      <w:numFmt w:val="lowerLetter"/>
      <w:lvlText w:val="%5."/>
      <w:lvlJc w:val="left"/>
      <w:pPr>
        <w:ind w:left="3600" w:hanging="360"/>
      </w:pPr>
    </w:lvl>
    <w:lvl w:ilvl="5" w:tplc="617896E6" w:tentative="1">
      <w:start w:val="1"/>
      <w:numFmt w:val="lowerRoman"/>
      <w:lvlText w:val="%6."/>
      <w:lvlJc w:val="right"/>
      <w:pPr>
        <w:ind w:left="4320" w:hanging="180"/>
      </w:pPr>
    </w:lvl>
    <w:lvl w:ilvl="6" w:tplc="697A0356" w:tentative="1">
      <w:start w:val="1"/>
      <w:numFmt w:val="decimal"/>
      <w:lvlText w:val="%7."/>
      <w:lvlJc w:val="left"/>
      <w:pPr>
        <w:ind w:left="5040" w:hanging="360"/>
      </w:pPr>
    </w:lvl>
    <w:lvl w:ilvl="7" w:tplc="45C4E676" w:tentative="1">
      <w:start w:val="1"/>
      <w:numFmt w:val="lowerLetter"/>
      <w:lvlText w:val="%8."/>
      <w:lvlJc w:val="left"/>
      <w:pPr>
        <w:ind w:left="5760" w:hanging="360"/>
      </w:pPr>
    </w:lvl>
    <w:lvl w:ilvl="8" w:tplc="0214F7CA"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9D"/>
    <w:rsid w:val="0080579D"/>
    <w:rsid w:val="00B847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47528"/>
  <w15:chartTrackingRefBased/>
  <w15:docId w15:val="{A6445B85-7927-4A9C-9C7D-3C35DCC4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tevapharm.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8F9B8.210D545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758C7-030C-4B05-9116-7C076B15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Fedirka</dc:creator>
  <cp:lastModifiedBy>Heather Fedirka</cp:lastModifiedBy>
  <cp:revision>2</cp:revision>
  <dcterms:created xsi:type="dcterms:W3CDTF">2022-12-08T20:15:00Z</dcterms:created>
  <dcterms:modified xsi:type="dcterms:W3CDTF">2022-12-08T20:15:00Z</dcterms:modified>
</cp:coreProperties>
</file>