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98428089"/>
        <w:docPartObj>
          <w:docPartGallery w:val="Table of Contents"/>
          <w:docPartUnique/>
        </w:docPartObj>
      </w:sdtPr>
      <w:sdtEndPr>
        <w:rPr>
          <w:b/>
          <w:bCs/>
          <w:noProof/>
        </w:rPr>
      </w:sdtEndPr>
      <w:sdtContent>
        <w:bookmarkStart w:id="0" w:name="_GoBack" w:displacedByCustomXml="prev"/>
        <w:bookmarkEnd w:id="0" w:displacedByCustomXml="prev"/>
        <w:p w:rsidR="003C1966" w:rsidRDefault="00622A36">
          <w:pPr>
            <w:spacing w:before="360" w:after="240" w:line="240" w:lineRule="auto"/>
            <w:jc w:val="center"/>
            <w:rPr>
              <w:rFonts w:ascii="Teva Sans Light" w:hAnsi="Teva Sans Light"/>
              <w:b/>
              <w:sz w:val="32"/>
            </w:rPr>
          </w:pPr>
          <w:r>
            <w:rPr>
              <w:rFonts w:ascii="Teva Sans Light" w:eastAsia="Teva Sans Light" w:hAnsi="Teva Sans Light" w:cs="Arial"/>
              <w:b/>
              <w:bCs/>
              <w:sz w:val="32"/>
              <w:szCs w:val="32"/>
              <w:lang w:val="it-IT"/>
            </w:rPr>
            <w:t>Scheda informativa su EngageMate</w:t>
          </w:r>
        </w:p>
        <w:p w:rsidR="003C1966" w:rsidRDefault="00622A36">
          <w:pPr>
            <w:pStyle w:val="TOCHeading"/>
          </w:pPr>
          <w:r>
            <w:rPr>
              <w:rFonts w:ascii="Calibri Light" w:eastAsia="Calibri Light" w:hAnsi="Calibri Light" w:cs="Times New Roman"/>
              <w:color w:val="2E74B5"/>
              <w:lang w:val="it-IT"/>
            </w:rPr>
            <w:t>Indice</w:t>
          </w:r>
        </w:p>
        <w:p w:rsidR="003C1966" w:rsidRDefault="003C1966">
          <w:pPr>
            <w:pStyle w:val="TOC1"/>
            <w:tabs>
              <w:tab w:val="right" w:leader="dot" w:pos="10502"/>
            </w:tabs>
          </w:pPr>
        </w:p>
        <w:p w:rsidR="00622A36" w:rsidRDefault="00622A36">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121744777" w:history="1">
            <w:r w:rsidRPr="000C7EA9">
              <w:rPr>
                <w:rStyle w:val="Hyperlink"/>
                <w:rFonts w:ascii="Calibri Light" w:eastAsia="Calibri Light" w:hAnsi="Calibri Light" w:cs="Times New Roman"/>
                <w:b/>
                <w:bCs/>
                <w:noProof/>
                <w:lang w:val="it-IT"/>
              </w:rPr>
              <w:t>Parte 1 ottobre 2022</w:t>
            </w:r>
            <w:r>
              <w:rPr>
                <w:noProof/>
                <w:webHidden/>
              </w:rPr>
              <w:tab/>
            </w:r>
            <w:r>
              <w:rPr>
                <w:noProof/>
                <w:webHidden/>
              </w:rPr>
              <w:fldChar w:fldCharType="begin"/>
            </w:r>
            <w:r>
              <w:rPr>
                <w:noProof/>
                <w:webHidden/>
              </w:rPr>
              <w:instrText xml:space="preserve"> PAGEREF _Toc121744777 \h </w:instrText>
            </w:r>
            <w:r>
              <w:rPr>
                <w:noProof/>
                <w:webHidden/>
              </w:rPr>
            </w:r>
            <w:r>
              <w:rPr>
                <w:noProof/>
                <w:webHidden/>
              </w:rPr>
              <w:fldChar w:fldCharType="separate"/>
            </w:r>
            <w:r>
              <w:rPr>
                <w:noProof/>
                <w:webHidden/>
              </w:rPr>
              <w:t>2</w:t>
            </w:r>
            <w:r>
              <w:rPr>
                <w:noProof/>
                <w:webHidden/>
              </w:rPr>
              <w:fldChar w:fldCharType="end"/>
            </w:r>
          </w:hyperlink>
        </w:p>
        <w:p w:rsidR="00622A36" w:rsidRDefault="00622A36">
          <w:pPr>
            <w:pStyle w:val="TOC2"/>
            <w:tabs>
              <w:tab w:val="right" w:leader="dot" w:pos="10502"/>
            </w:tabs>
            <w:rPr>
              <w:rFonts w:eastAsiaTheme="minorEastAsia"/>
              <w:noProof/>
            </w:rPr>
          </w:pPr>
          <w:hyperlink w:anchor="_Toc121744778" w:history="1">
            <w:r w:rsidRPr="000C7EA9">
              <w:rPr>
                <w:rStyle w:val="Hyperlink"/>
                <w:rFonts w:ascii="Teva Sans Light" w:eastAsia="Teva Sans" w:hAnsi="Teva Sans Light"/>
                <w:b/>
                <w:noProof/>
                <w:lang w:val="it-IT"/>
              </w:rPr>
              <w:t>Funzionalità di sistema</w:t>
            </w:r>
            <w:r>
              <w:rPr>
                <w:noProof/>
                <w:webHidden/>
              </w:rPr>
              <w:tab/>
            </w:r>
            <w:r>
              <w:rPr>
                <w:noProof/>
                <w:webHidden/>
              </w:rPr>
              <w:fldChar w:fldCharType="begin"/>
            </w:r>
            <w:r>
              <w:rPr>
                <w:noProof/>
                <w:webHidden/>
              </w:rPr>
              <w:instrText xml:space="preserve"> PAGEREF _Toc121744778 \h </w:instrText>
            </w:r>
            <w:r>
              <w:rPr>
                <w:noProof/>
                <w:webHidden/>
              </w:rPr>
            </w:r>
            <w:r>
              <w:rPr>
                <w:noProof/>
                <w:webHidden/>
              </w:rPr>
              <w:fldChar w:fldCharType="separate"/>
            </w:r>
            <w:r>
              <w:rPr>
                <w:noProof/>
                <w:webHidden/>
              </w:rPr>
              <w:t>2</w:t>
            </w:r>
            <w:r>
              <w:rPr>
                <w:noProof/>
                <w:webHidden/>
              </w:rPr>
              <w:fldChar w:fldCharType="end"/>
            </w:r>
          </w:hyperlink>
        </w:p>
        <w:p w:rsidR="00622A36" w:rsidRDefault="00622A36">
          <w:pPr>
            <w:pStyle w:val="TOC2"/>
            <w:tabs>
              <w:tab w:val="right" w:leader="dot" w:pos="10502"/>
            </w:tabs>
            <w:rPr>
              <w:rFonts w:eastAsiaTheme="minorEastAsia"/>
              <w:noProof/>
            </w:rPr>
          </w:pPr>
          <w:hyperlink w:anchor="_Toc121744779" w:history="1">
            <w:r w:rsidRPr="000C7EA9">
              <w:rPr>
                <w:rStyle w:val="Hyperlink"/>
                <w:rFonts w:ascii="Teva Sans Light" w:eastAsia="Teva Sans" w:hAnsi="Teva Sans Light"/>
                <w:b/>
                <w:noProof/>
                <w:lang w:val="it-IT"/>
              </w:rPr>
              <w:t>Requisiti per l’invio</w:t>
            </w:r>
            <w:r>
              <w:rPr>
                <w:noProof/>
                <w:webHidden/>
              </w:rPr>
              <w:tab/>
            </w:r>
            <w:r>
              <w:rPr>
                <w:noProof/>
                <w:webHidden/>
              </w:rPr>
              <w:fldChar w:fldCharType="begin"/>
            </w:r>
            <w:r>
              <w:rPr>
                <w:noProof/>
                <w:webHidden/>
              </w:rPr>
              <w:instrText xml:space="preserve"> PAGEREF _Toc121744779 \h </w:instrText>
            </w:r>
            <w:r>
              <w:rPr>
                <w:noProof/>
                <w:webHidden/>
              </w:rPr>
            </w:r>
            <w:r>
              <w:rPr>
                <w:noProof/>
                <w:webHidden/>
              </w:rPr>
              <w:fldChar w:fldCharType="separate"/>
            </w:r>
            <w:r>
              <w:rPr>
                <w:noProof/>
                <w:webHidden/>
              </w:rPr>
              <w:t>2</w:t>
            </w:r>
            <w:r>
              <w:rPr>
                <w:noProof/>
                <w:webHidden/>
              </w:rPr>
              <w:fldChar w:fldCharType="end"/>
            </w:r>
          </w:hyperlink>
        </w:p>
        <w:p w:rsidR="00622A36" w:rsidRDefault="00622A36">
          <w:pPr>
            <w:pStyle w:val="TOC2"/>
            <w:tabs>
              <w:tab w:val="right" w:leader="dot" w:pos="10502"/>
            </w:tabs>
            <w:rPr>
              <w:rFonts w:eastAsiaTheme="minorEastAsia"/>
              <w:noProof/>
            </w:rPr>
          </w:pPr>
          <w:hyperlink w:anchor="_Toc121744780" w:history="1">
            <w:r w:rsidRPr="000C7EA9">
              <w:rPr>
                <w:rStyle w:val="Hyperlink"/>
                <w:rFonts w:ascii="Teva Sans Light" w:hAnsi="Teva Sans Light"/>
                <w:b/>
                <w:noProof/>
              </w:rPr>
              <w:t>Controlli di sistema</w:t>
            </w:r>
            <w:r>
              <w:rPr>
                <w:noProof/>
                <w:webHidden/>
              </w:rPr>
              <w:tab/>
            </w:r>
            <w:r>
              <w:rPr>
                <w:noProof/>
                <w:webHidden/>
              </w:rPr>
              <w:fldChar w:fldCharType="begin"/>
            </w:r>
            <w:r>
              <w:rPr>
                <w:noProof/>
                <w:webHidden/>
              </w:rPr>
              <w:instrText xml:space="preserve"> PAGEREF _Toc121744780 \h </w:instrText>
            </w:r>
            <w:r>
              <w:rPr>
                <w:noProof/>
                <w:webHidden/>
              </w:rPr>
            </w:r>
            <w:r>
              <w:rPr>
                <w:noProof/>
                <w:webHidden/>
              </w:rPr>
              <w:fldChar w:fldCharType="separate"/>
            </w:r>
            <w:r>
              <w:rPr>
                <w:noProof/>
                <w:webHidden/>
              </w:rPr>
              <w:t>3</w:t>
            </w:r>
            <w:r>
              <w:rPr>
                <w:noProof/>
                <w:webHidden/>
              </w:rPr>
              <w:fldChar w:fldCharType="end"/>
            </w:r>
          </w:hyperlink>
        </w:p>
        <w:p w:rsidR="00622A36" w:rsidRDefault="00622A36">
          <w:pPr>
            <w:pStyle w:val="TOC1"/>
            <w:tabs>
              <w:tab w:val="right" w:leader="dot" w:pos="10502"/>
            </w:tabs>
            <w:rPr>
              <w:rFonts w:eastAsiaTheme="minorEastAsia"/>
              <w:noProof/>
            </w:rPr>
          </w:pPr>
          <w:hyperlink w:anchor="_Toc121744781" w:history="1">
            <w:r w:rsidRPr="000C7EA9">
              <w:rPr>
                <w:rStyle w:val="Hyperlink"/>
                <w:rFonts w:ascii="Calibri Light" w:eastAsia="Calibri Light" w:hAnsi="Calibri Light" w:cs="Times New Roman"/>
                <w:b/>
                <w:bCs/>
                <w:noProof/>
                <w:lang w:val="it-IT"/>
              </w:rPr>
              <w:t>Parte 2 novembre 2022</w:t>
            </w:r>
            <w:r>
              <w:rPr>
                <w:noProof/>
                <w:webHidden/>
              </w:rPr>
              <w:tab/>
            </w:r>
            <w:r>
              <w:rPr>
                <w:noProof/>
                <w:webHidden/>
              </w:rPr>
              <w:fldChar w:fldCharType="begin"/>
            </w:r>
            <w:r>
              <w:rPr>
                <w:noProof/>
                <w:webHidden/>
              </w:rPr>
              <w:instrText xml:space="preserve"> PAGEREF _Toc121744781 \h </w:instrText>
            </w:r>
            <w:r>
              <w:rPr>
                <w:noProof/>
                <w:webHidden/>
              </w:rPr>
            </w:r>
            <w:r>
              <w:rPr>
                <w:noProof/>
                <w:webHidden/>
              </w:rPr>
              <w:fldChar w:fldCharType="separate"/>
            </w:r>
            <w:r>
              <w:rPr>
                <w:noProof/>
                <w:webHidden/>
              </w:rPr>
              <w:t>3</w:t>
            </w:r>
            <w:r>
              <w:rPr>
                <w:noProof/>
                <w:webHidden/>
              </w:rPr>
              <w:fldChar w:fldCharType="end"/>
            </w:r>
          </w:hyperlink>
        </w:p>
        <w:p w:rsidR="00622A36" w:rsidRDefault="00622A36">
          <w:pPr>
            <w:pStyle w:val="TOC2"/>
            <w:tabs>
              <w:tab w:val="right" w:leader="dot" w:pos="10502"/>
            </w:tabs>
            <w:rPr>
              <w:rFonts w:eastAsiaTheme="minorEastAsia"/>
              <w:noProof/>
            </w:rPr>
          </w:pPr>
          <w:hyperlink w:anchor="_Toc121744782" w:history="1">
            <w:r w:rsidRPr="000C7EA9">
              <w:rPr>
                <w:rStyle w:val="Hyperlink"/>
                <w:rFonts w:ascii="Calibri Light" w:eastAsia="Calibri Light" w:hAnsi="Calibri Light" w:cs="Times New Roman"/>
                <w:b/>
                <w:bCs/>
                <w:noProof/>
                <w:lang w:val="it-IT"/>
              </w:rPr>
              <w:t>Video di formazione su EngageMate</w:t>
            </w:r>
            <w:r>
              <w:rPr>
                <w:noProof/>
                <w:webHidden/>
              </w:rPr>
              <w:tab/>
            </w:r>
            <w:r>
              <w:rPr>
                <w:noProof/>
                <w:webHidden/>
              </w:rPr>
              <w:fldChar w:fldCharType="begin"/>
            </w:r>
            <w:r>
              <w:rPr>
                <w:noProof/>
                <w:webHidden/>
              </w:rPr>
              <w:instrText xml:space="preserve"> PAGEREF _Toc121744782 \h </w:instrText>
            </w:r>
            <w:r>
              <w:rPr>
                <w:noProof/>
                <w:webHidden/>
              </w:rPr>
            </w:r>
            <w:r>
              <w:rPr>
                <w:noProof/>
                <w:webHidden/>
              </w:rPr>
              <w:fldChar w:fldCharType="separate"/>
            </w:r>
            <w:r>
              <w:rPr>
                <w:noProof/>
                <w:webHidden/>
              </w:rPr>
              <w:t>3</w:t>
            </w:r>
            <w:r>
              <w:rPr>
                <w:noProof/>
                <w:webHidden/>
              </w:rPr>
              <w:fldChar w:fldCharType="end"/>
            </w:r>
          </w:hyperlink>
        </w:p>
        <w:p w:rsidR="00622A36" w:rsidRDefault="00622A36">
          <w:pPr>
            <w:pStyle w:val="TOC2"/>
            <w:tabs>
              <w:tab w:val="right" w:leader="dot" w:pos="10502"/>
            </w:tabs>
            <w:rPr>
              <w:rFonts w:eastAsiaTheme="minorEastAsia"/>
              <w:noProof/>
            </w:rPr>
          </w:pPr>
          <w:hyperlink w:anchor="_Toc121744783" w:history="1">
            <w:r w:rsidRPr="000C7EA9">
              <w:rPr>
                <w:rStyle w:val="Hyperlink"/>
                <w:rFonts w:ascii="Calibri Light" w:eastAsia="Calibri Light" w:hAnsi="Calibri Light" w:cs="Times New Roman"/>
                <w:b/>
                <w:bCs/>
                <w:noProof/>
                <w:lang w:val="it-IT"/>
              </w:rPr>
              <w:t>Funzionalità di sistema</w:t>
            </w:r>
            <w:r>
              <w:rPr>
                <w:noProof/>
                <w:webHidden/>
              </w:rPr>
              <w:tab/>
            </w:r>
            <w:r>
              <w:rPr>
                <w:noProof/>
                <w:webHidden/>
              </w:rPr>
              <w:fldChar w:fldCharType="begin"/>
            </w:r>
            <w:r>
              <w:rPr>
                <w:noProof/>
                <w:webHidden/>
              </w:rPr>
              <w:instrText xml:space="preserve"> PAGEREF _Toc121744783 \h </w:instrText>
            </w:r>
            <w:r>
              <w:rPr>
                <w:noProof/>
                <w:webHidden/>
              </w:rPr>
            </w:r>
            <w:r>
              <w:rPr>
                <w:noProof/>
                <w:webHidden/>
              </w:rPr>
              <w:fldChar w:fldCharType="separate"/>
            </w:r>
            <w:r>
              <w:rPr>
                <w:noProof/>
                <w:webHidden/>
              </w:rPr>
              <w:t>4</w:t>
            </w:r>
            <w:r>
              <w:rPr>
                <w:noProof/>
                <w:webHidden/>
              </w:rPr>
              <w:fldChar w:fldCharType="end"/>
            </w:r>
          </w:hyperlink>
        </w:p>
        <w:p w:rsidR="00622A36" w:rsidRDefault="00622A36">
          <w:pPr>
            <w:pStyle w:val="TOC2"/>
            <w:tabs>
              <w:tab w:val="right" w:leader="dot" w:pos="10502"/>
            </w:tabs>
            <w:rPr>
              <w:rFonts w:eastAsiaTheme="minorEastAsia"/>
              <w:noProof/>
            </w:rPr>
          </w:pPr>
          <w:hyperlink w:anchor="_Toc121744784" w:history="1">
            <w:r w:rsidRPr="000C7EA9">
              <w:rPr>
                <w:rStyle w:val="Hyperlink"/>
                <w:rFonts w:ascii="Calibri Light" w:eastAsia="Calibri Light" w:hAnsi="Calibri Light" w:cs="Times New Roman"/>
                <w:b/>
                <w:bCs/>
                <w:noProof/>
                <w:lang w:val="it-IT"/>
              </w:rPr>
              <w:t>Requisiti per l’invio</w:t>
            </w:r>
            <w:r>
              <w:rPr>
                <w:noProof/>
                <w:webHidden/>
              </w:rPr>
              <w:tab/>
            </w:r>
            <w:r>
              <w:rPr>
                <w:noProof/>
                <w:webHidden/>
              </w:rPr>
              <w:fldChar w:fldCharType="begin"/>
            </w:r>
            <w:r>
              <w:rPr>
                <w:noProof/>
                <w:webHidden/>
              </w:rPr>
              <w:instrText xml:space="preserve"> PAGEREF _Toc121744784 \h </w:instrText>
            </w:r>
            <w:r>
              <w:rPr>
                <w:noProof/>
                <w:webHidden/>
              </w:rPr>
            </w:r>
            <w:r>
              <w:rPr>
                <w:noProof/>
                <w:webHidden/>
              </w:rPr>
              <w:fldChar w:fldCharType="separate"/>
            </w:r>
            <w:r>
              <w:rPr>
                <w:noProof/>
                <w:webHidden/>
              </w:rPr>
              <w:t>5</w:t>
            </w:r>
            <w:r>
              <w:rPr>
                <w:noProof/>
                <w:webHidden/>
              </w:rPr>
              <w:fldChar w:fldCharType="end"/>
            </w:r>
          </w:hyperlink>
        </w:p>
        <w:p w:rsidR="00622A36" w:rsidRDefault="00622A36">
          <w:pPr>
            <w:pStyle w:val="TOC2"/>
            <w:tabs>
              <w:tab w:val="right" w:leader="dot" w:pos="10502"/>
            </w:tabs>
            <w:rPr>
              <w:rFonts w:eastAsiaTheme="minorEastAsia"/>
              <w:noProof/>
            </w:rPr>
          </w:pPr>
          <w:hyperlink w:anchor="_Toc121744785" w:history="1">
            <w:r w:rsidRPr="000C7EA9">
              <w:rPr>
                <w:rStyle w:val="Hyperlink"/>
                <w:rFonts w:ascii="Calibri Light" w:eastAsia="Calibri Light" w:hAnsi="Calibri Light" w:cs="Times New Roman"/>
                <w:b/>
                <w:bCs/>
                <w:noProof/>
                <w:lang w:val="it-IT"/>
              </w:rPr>
              <w:t>Controlli di sistema</w:t>
            </w:r>
            <w:r>
              <w:rPr>
                <w:noProof/>
                <w:webHidden/>
              </w:rPr>
              <w:tab/>
            </w:r>
            <w:r>
              <w:rPr>
                <w:noProof/>
                <w:webHidden/>
              </w:rPr>
              <w:fldChar w:fldCharType="begin"/>
            </w:r>
            <w:r>
              <w:rPr>
                <w:noProof/>
                <w:webHidden/>
              </w:rPr>
              <w:instrText xml:space="preserve"> PAGEREF _Toc121744785 \h </w:instrText>
            </w:r>
            <w:r>
              <w:rPr>
                <w:noProof/>
                <w:webHidden/>
              </w:rPr>
            </w:r>
            <w:r>
              <w:rPr>
                <w:noProof/>
                <w:webHidden/>
              </w:rPr>
              <w:fldChar w:fldCharType="separate"/>
            </w:r>
            <w:r>
              <w:rPr>
                <w:noProof/>
                <w:webHidden/>
              </w:rPr>
              <w:t>7</w:t>
            </w:r>
            <w:r>
              <w:rPr>
                <w:noProof/>
                <w:webHidden/>
              </w:rPr>
              <w:fldChar w:fldCharType="end"/>
            </w:r>
          </w:hyperlink>
        </w:p>
        <w:p w:rsidR="003C1966" w:rsidRDefault="00622A36">
          <w:r>
            <w:rPr>
              <w:b/>
              <w:bCs/>
              <w:noProof/>
            </w:rPr>
            <w:fldChar w:fldCharType="end"/>
          </w:r>
        </w:p>
      </w:sdtContent>
    </w:sdt>
    <w:p w:rsidR="003C1966" w:rsidRDefault="00622A36">
      <w:pPr>
        <w:rPr>
          <w:b/>
        </w:rPr>
      </w:pPr>
      <w:r>
        <w:rPr>
          <w:b/>
        </w:rPr>
        <w:br w:type="page"/>
      </w:r>
    </w:p>
    <w:p w:rsidR="003C1966" w:rsidRDefault="00622A36">
      <w:pPr>
        <w:pStyle w:val="Heading1"/>
        <w:rPr>
          <w:rFonts w:ascii="Calibri Light" w:eastAsia="Calibri Light" w:hAnsi="Calibri Light" w:cs="Times New Roman"/>
          <w:b/>
          <w:bCs/>
          <w:color w:val="2E74B5"/>
          <w:sz w:val="36"/>
          <w:szCs w:val="36"/>
          <w:lang w:val="it-IT"/>
        </w:rPr>
      </w:pPr>
      <w:bookmarkStart w:id="1" w:name="_Toc121744777"/>
      <w:r>
        <w:rPr>
          <w:rFonts w:ascii="Calibri Light" w:eastAsia="Calibri Light" w:hAnsi="Calibri Light" w:cs="Times New Roman"/>
          <w:b/>
          <w:bCs/>
          <w:color w:val="2E74B5"/>
          <w:sz w:val="36"/>
          <w:szCs w:val="36"/>
          <w:lang w:val="it-IT"/>
        </w:rPr>
        <w:lastRenderedPageBreak/>
        <w:t>Parte 1 ottobre 2022</w:t>
      </w:r>
      <w:bookmarkEnd w:id="1"/>
    </w:p>
    <w:p w:rsidR="00622A36" w:rsidRPr="009F5D07" w:rsidRDefault="00622A36" w:rsidP="00622A36">
      <w:pPr>
        <w:pStyle w:val="Heading2"/>
        <w:rPr>
          <w:rFonts w:ascii="Teva Sans Light" w:hAnsi="Teva Sans Light"/>
          <w:b/>
          <w:sz w:val="24"/>
          <w:szCs w:val="24"/>
        </w:rPr>
      </w:pPr>
      <w:bookmarkStart w:id="2" w:name="_Toc119923197"/>
      <w:bookmarkStart w:id="3" w:name="_Toc121744778"/>
      <w:r w:rsidRPr="009F5D07">
        <w:rPr>
          <w:rFonts w:ascii="Teva Sans Light" w:eastAsia="Teva Sans" w:hAnsi="Teva Sans Light"/>
          <w:b/>
          <w:sz w:val="24"/>
          <w:szCs w:val="24"/>
          <w:lang w:val="it-IT"/>
        </w:rPr>
        <w:t>Funzionalità di sistema</w:t>
      </w:r>
      <w:bookmarkEnd w:id="2"/>
      <w:bookmarkEnd w:id="3"/>
    </w:p>
    <w:p w:rsidR="00622A36" w:rsidRPr="009F5D07" w:rsidRDefault="00622A36" w:rsidP="00622A36">
      <w:pPr>
        <w:pStyle w:val="ListParagraph"/>
        <w:numPr>
          <w:ilvl w:val="0"/>
          <w:numId w:val="1"/>
        </w:numPr>
        <w:spacing w:after="20" w:line="240" w:lineRule="auto"/>
        <w:ind w:left="547"/>
        <w:contextualSpacing w:val="0"/>
        <w:rPr>
          <w:rFonts w:ascii="Teva Sans Light" w:hAnsi="Teva Sans Light"/>
          <w:sz w:val="24"/>
          <w:szCs w:val="24"/>
        </w:rPr>
      </w:pPr>
      <w:r w:rsidRPr="009F5D07">
        <w:rPr>
          <w:rFonts w:ascii="Teva Sans Light" w:eastAsia="Teva Sans" w:hAnsi="Teva Sans Light" w:cs="Arial"/>
          <w:sz w:val="24"/>
          <w:szCs w:val="24"/>
          <w:lang w:val="it-IT"/>
        </w:rPr>
        <w:t>Gli utenti possono avere ruoli doppi (Richiedente e Revisore). I ruoli vengono scelti quando si accede, utilizzando l’URL di EngageMate.</w:t>
      </w:r>
    </w:p>
    <w:p w:rsidR="00622A36" w:rsidRPr="009F5D07" w:rsidRDefault="00622A36" w:rsidP="00622A36">
      <w:pPr>
        <w:spacing w:after="20" w:line="240" w:lineRule="auto"/>
        <w:ind w:left="187"/>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7"/>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Per cambiare il ruolo dell’utente, occorre disconnettersi dal ruolo attuale e selezionare l’altro ruolo. </w:t>
      </w:r>
    </w:p>
    <w:p w:rsidR="00622A36" w:rsidRPr="009F5D07" w:rsidRDefault="00622A36" w:rsidP="00622A36">
      <w:pPr>
        <w:spacing w:after="20" w:line="240" w:lineRule="auto"/>
        <w:ind w:left="187"/>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7"/>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Per visualizzare il profilo del ruolo attuale (ossia quello con il quale è stato effettuato l’accesso), fare clic sull’icona del menu “hamburger”. Tale area serve anche per disconnettersi. </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La lingua può essere modificata nell’angolo in alto a destra della pagina ( icona accanto alle iniziali).</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Per duplicare un’attività, fare clic sul pulsante </w:t>
      </w:r>
      <w:r w:rsidRPr="009F5D07">
        <w:rPr>
          <w:rFonts w:ascii="Teva Sans Light" w:eastAsia="Teva Sans" w:hAnsi="Teva Sans Light" w:cs="Arial"/>
          <w:i/>
          <w:iCs/>
          <w:sz w:val="24"/>
          <w:szCs w:val="24"/>
          <w:u w:val="single"/>
          <w:lang w:val="it-IT"/>
        </w:rPr>
        <w:t>Copy</w:t>
      </w:r>
      <w:r w:rsidRPr="009F5D07">
        <w:rPr>
          <w:rFonts w:ascii="Teva Sans Light" w:eastAsia="Teva Sans" w:hAnsi="Teva Sans Light" w:cs="Arial"/>
          <w:sz w:val="24"/>
          <w:szCs w:val="24"/>
          <w:lang w:val="it-IT"/>
        </w:rPr>
        <w:t xml:space="preserve"> (Copia). Ciò consente di risparmiare tempo.</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Il sistema consente di stampare gli invii di attività approvati sotto forma di file PDF. (Nota: per gli invii non ancora approvati, l’opzione “Print to PDF” [Stampa in PDF] non è visibile). Il pulsante si trova nella scheda </w:t>
      </w:r>
      <w:r w:rsidRPr="009F5D07">
        <w:rPr>
          <w:rFonts w:ascii="Teva Sans Light" w:eastAsia="Teva Sans" w:hAnsi="Teva Sans Light" w:cs="Arial"/>
          <w:i/>
          <w:iCs/>
          <w:sz w:val="24"/>
          <w:szCs w:val="24"/>
          <w:u w:val="single"/>
          <w:lang w:val="it-IT"/>
        </w:rPr>
        <w:t>Audit Trail</w:t>
      </w:r>
      <w:r w:rsidRPr="009F5D07">
        <w:rPr>
          <w:rFonts w:ascii="Teva Sans Light" w:eastAsia="Teva Sans" w:hAnsi="Teva Sans Light" w:cs="Arial"/>
          <w:sz w:val="24"/>
          <w:szCs w:val="24"/>
          <w:lang w:val="it-IT"/>
        </w:rPr>
        <w:t xml:space="preserve"> (Meccanismo di controllo).</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I documenti caricati non devono superare i 15 MB.</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Per passare a una pagina successiva, andare nell’angolo in basso a destra della pagina della griglia (“Page </w:t>
      </w:r>
      <w:r w:rsidRPr="009F5D07">
        <w:rPr>
          <w:rFonts w:ascii="Teva Sans Light" w:eastAsia="Teva Sans" w:hAnsi="Teva Sans Light" w:cs="Arial"/>
          <w:sz w:val="24"/>
          <w:szCs w:val="24"/>
          <w:u w:val="single"/>
          <w:lang w:val="it-IT"/>
        </w:rPr>
        <w:t>1</w:t>
      </w:r>
      <w:r w:rsidRPr="009F5D07">
        <w:rPr>
          <w:rFonts w:ascii="Teva Sans Light" w:eastAsia="Teva Sans" w:hAnsi="Teva Sans Light" w:cs="Arial"/>
          <w:sz w:val="24"/>
          <w:szCs w:val="24"/>
          <w:lang w:val="it-IT"/>
        </w:rPr>
        <w:t xml:space="preserve"> of Page </w:t>
      </w:r>
      <w:r w:rsidRPr="009F5D07">
        <w:rPr>
          <w:rFonts w:ascii="Teva Sans Light" w:eastAsia="Teva Sans" w:hAnsi="Teva Sans Light" w:cs="Arial"/>
          <w:sz w:val="24"/>
          <w:szCs w:val="24"/>
          <w:u w:val="single"/>
          <w:lang w:val="it-IT"/>
        </w:rPr>
        <w:t>3</w:t>
      </w:r>
      <w:r w:rsidRPr="009F5D07">
        <w:rPr>
          <w:rFonts w:ascii="Teva Sans Light" w:eastAsia="Teva Sans" w:hAnsi="Teva Sans Light" w:cs="Arial"/>
          <w:sz w:val="24"/>
          <w:szCs w:val="24"/>
          <w:lang w:val="it-IT"/>
        </w:rPr>
        <w:t>”).</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Nel pannello di navigazione a sinistra si possono visualizzare il livello attuale, l’intervallo FMV e i CV dei fornitori di servizi nell’Anagrafe clienti di EngageMate. </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1"/>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Riquadri della pagina Home, filtraggio degli elenchi di attività. Per visualizzare l’elenco completo delle attività, fare clic su Activity (Attività) nel pannello di navigazione a sinistra. </w:t>
      </w:r>
    </w:p>
    <w:p w:rsidR="00622A36" w:rsidRPr="009F5D07" w:rsidRDefault="00622A36" w:rsidP="00622A36">
      <w:pPr>
        <w:pStyle w:val="Heading2"/>
        <w:rPr>
          <w:rFonts w:ascii="Teva Sans Light" w:eastAsia="Teva Sans" w:hAnsi="Teva Sans Light"/>
          <w:b/>
          <w:sz w:val="24"/>
          <w:szCs w:val="24"/>
          <w:lang w:val="it-IT"/>
        </w:rPr>
      </w:pPr>
    </w:p>
    <w:p w:rsidR="00622A36" w:rsidRPr="009F5D07" w:rsidRDefault="00622A36" w:rsidP="00622A36">
      <w:pPr>
        <w:pStyle w:val="Heading2"/>
        <w:rPr>
          <w:rFonts w:ascii="Teva Sans Light" w:hAnsi="Teva Sans Light"/>
          <w:b/>
          <w:sz w:val="24"/>
          <w:szCs w:val="24"/>
        </w:rPr>
      </w:pPr>
      <w:bookmarkStart w:id="4" w:name="_Toc119923198"/>
      <w:bookmarkStart w:id="5" w:name="_Toc121744779"/>
      <w:r w:rsidRPr="009F5D07">
        <w:rPr>
          <w:rFonts w:ascii="Teva Sans Light" w:eastAsia="Teva Sans" w:hAnsi="Teva Sans Light"/>
          <w:b/>
          <w:sz w:val="24"/>
          <w:szCs w:val="24"/>
          <w:lang w:val="it-IT"/>
        </w:rPr>
        <w:t>Requisiti per l’invio</w:t>
      </w:r>
      <w:bookmarkEnd w:id="4"/>
      <w:bookmarkEnd w:id="5"/>
    </w:p>
    <w:p w:rsidR="00622A36" w:rsidRPr="009F5D07" w:rsidRDefault="00622A36" w:rsidP="00622A36">
      <w:pPr>
        <w:pStyle w:val="ListParagraph"/>
        <w:numPr>
          <w:ilvl w:val="0"/>
          <w:numId w:val="2"/>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I CV dei fornitori di servizi vengono caricati una sola volta nel profilo del fornitore di servizi. Tuttavia, se viene richiesta una </w:t>
      </w:r>
      <w:r w:rsidRPr="009F5D07">
        <w:rPr>
          <w:rFonts w:ascii="Teva Sans Light" w:eastAsia="Teva Sans" w:hAnsi="Teva Sans Light" w:cs="Arial"/>
          <w:i/>
          <w:iCs/>
          <w:sz w:val="24"/>
          <w:szCs w:val="24"/>
          <w:u w:val="single"/>
          <w:lang w:val="it-IT"/>
        </w:rPr>
        <w:t>Modifica di livello</w:t>
      </w:r>
      <w:r w:rsidRPr="009F5D07">
        <w:rPr>
          <w:rFonts w:ascii="Teva Sans Light" w:eastAsia="Teva Sans" w:hAnsi="Teva Sans Light" w:cs="Arial"/>
          <w:sz w:val="24"/>
          <w:szCs w:val="24"/>
          <w:lang w:val="it-IT"/>
        </w:rPr>
        <w:t xml:space="preserve"> è necessario caricare un CV aggiornato. </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2"/>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Gli elenchi a discesa che mostrano il </w:t>
      </w:r>
      <w:r w:rsidRPr="009F5D07">
        <w:rPr>
          <w:rFonts w:ascii="Teva Sans Light" w:eastAsia="Teva Sans" w:hAnsi="Teva Sans Light" w:cs="Arial"/>
          <w:i/>
          <w:iCs/>
          <w:sz w:val="24"/>
          <w:szCs w:val="24"/>
          <w:u w:val="single"/>
          <w:lang w:val="it-IT"/>
        </w:rPr>
        <w:t>Tipo di documento</w:t>
      </w:r>
      <w:r w:rsidRPr="009F5D07">
        <w:rPr>
          <w:rFonts w:ascii="Teva Sans Light" w:eastAsia="Teva Sans" w:hAnsi="Teva Sans Light" w:cs="Arial"/>
          <w:sz w:val="24"/>
          <w:szCs w:val="24"/>
          <w:lang w:val="it-IT"/>
        </w:rPr>
        <w:t xml:space="preserve"> cambiano a seconda del tipo di attività selezionato o della fase attuale del flusso di lavoro di revisione.</w:t>
      </w:r>
    </w:p>
    <w:p w:rsidR="00622A36" w:rsidRPr="009F5D07" w:rsidRDefault="00622A36" w:rsidP="00622A36">
      <w:pPr>
        <w:spacing w:after="20" w:line="240" w:lineRule="auto"/>
        <w:ind w:left="180"/>
        <w:rPr>
          <w:rFonts w:ascii="Teva Sans Light" w:hAnsi="Teva Sans Light" w:cstheme="minorHAnsi"/>
          <w:sz w:val="24"/>
          <w:szCs w:val="24"/>
        </w:rPr>
      </w:pPr>
    </w:p>
    <w:p w:rsidR="00622A36" w:rsidRPr="009F5D07" w:rsidRDefault="00622A36" w:rsidP="00622A36">
      <w:pPr>
        <w:pStyle w:val="ListParagraph"/>
        <w:numPr>
          <w:ilvl w:val="0"/>
          <w:numId w:val="2"/>
        </w:numPr>
        <w:spacing w:after="20" w:line="240" w:lineRule="auto"/>
        <w:ind w:left="540"/>
        <w:contextualSpacing w:val="0"/>
        <w:rPr>
          <w:rFonts w:ascii="Teva Sans Light" w:hAnsi="Teva Sans Light" w:cstheme="minorHAnsi"/>
          <w:sz w:val="24"/>
          <w:szCs w:val="24"/>
        </w:rPr>
      </w:pPr>
      <w:r w:rsidRPr="009F5D07">
        <w:rPr>
          <w:rFonts w:ascii="Teva Sans Light" w:eastAsia="Teva Sans" w:hAnsi="Teva Sans Light" w:cs="Calibri"/>
          <w:sz w:val="24"/>
          <w:szCs w:val="24"/>
          <w:lang w:val="it-IT"/>
        </w:rPr>
        <w:t>Gli operatori sanitari devono essere sempre indicati come individui, non possono essere indicati, utilizzando un nome di organizzazione (Struttura sanitaria).</w:t>
      </w:r>
    </w:p>
    <w:p w:rsidR="00622A36" w:rsidRPr="009F5D07" w:rsidRDefault="00622A36" w:rsidP="00622A36">
      <w:pPr>
        <w:spacing w:after="20" w:line="240" w:lineRule="auto"/>
        <w:ind w:left="180"/>
        <w:rPr>
          <w:rFonts w:ascii="Teva Sans Light" w:hAnsi="Teva Sans Light" w:cstheme="minorHAnsi"/>
          <w:sz w:val="24"/>
          <w:szCs w:val="24"/>
        </w:rPr>
      </w:pPr>
    </w:p>
    <w:p w:rsidR="00622A36" w:rsidRPr="009F5D07" w:rsidRDefault="00622A36" w:rsidP="00622A36">
      <w:pPr>
        <w:pStyle w:val="ListParagraph"/>
        <w:numPr>
          <w:ilvl w:val="0"/>
          <w:numId w:val="2"/>
        </w:numPr>
        <w:spacing w:after="20" w:line="240" w:lineRule="auto"/>
        <w:ind w:left="540"/>
        <w:contextualSpacing w:val="0"/>
        <w:rPr>
          <w:rFonts w:ascii="Teva Sans Light" w:hAnsi="Teva Sans Light" w:cstheme="minorHAnsi"/>
          <w:sz w:val="24"/>
          <w:szCs w:val="24"/>
        </w:rPr>
      </w:pPr>
      <w:r w:rsidRPr="009F5D07">
        <w:rPr>
          <w:rFonts w:ascii="Teva Sans Light" w:eastAsia="Teva Sans" w:hAnsi="Teva Sans Light" w:cs="Calibri"/>
          <w:sz w:val="24"/>
          <w:szCs w:val="24"/>
          <w:lang w:val="it-IT"/>
        </w:rPr>
        <w:t>Per i moduli Ospitalità, il numero stimato di partecipanti include i dipendenti Teva.</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2"/>
        </w:numPr>
        <w:spacing w:after="20" w:line="240" w:lineRule="auto"/>
        <w:ind w:left="540"/>
        <w:contextualSpacing w:val="0"/>
        <w:rPr>
          <w:rFonts w:ascii="Teva Sans Light" w:hAnsi="Teva Sans Light"/>
          <w:sz w:val="24"/>
          <w:szCs w:val="24"/>
        </w:rPr>
      </w:pPr>
      <w:r w:rsidRPr="009F5D07">
        <w:rPr>
          <w:rFonts w:ascii="Teva Sans Light" w:eastAsia="Teva Sans" w:hAnsi="Teva Sans Light" w:cs="Calibri"/>
          <w:sz w:val="24"/>
          <w:szCs w:val="24"/>
          <w:lang w:val="it-IT"/>
        </w:rPr>
        <w:t>L’</w:t>
      </w:r>
      <w:r w:rsidRPr="009F5D07">
        <w:rPr>
          <w:rFonts w:ascii="Teva Sans Light" w:eastAsia="Teva Sans" w:hAnsi="Teva Sans Light" w:cs="Calibri"/>
          <w:i/>
          <w:iCs/>
          <w:sz w:val="24"/>
          <w:szCs w:val="24"/>
          <w:u w:val="single"/>
          <w:lang w:val="it-IT"/>
        </w:rPr>
        <w:t>Originatore del progetto</w:t>
      </w:r>
      <w:r w:rsidRPr="009F5D07">
        <w:rPr>
          <w:rFonts w:ascii="Teva Sans Light" w:eastAsia="Teva Sans" w:hAnsi="Teva Sans Light" w:cs="Calibri"/>
          <w:sz w:val="24"/>
          <w:szCs w:val="24"/>
          <w:lang w:val="it-IT"/>
        </w:rPr>
        <w:t xml:space="preserve"> è il proprietario dell’attività ed è responsabile di tutti gli aspetti dell’invio, non soltanto dell’inserimento dei dati dell’invio.</w:t>
      </w:r>
    </w:p>
    <w:p w:rsidR="00622A36" w:rsidRPr="009F5D07" w:rsidRDefault="00622A36" w:rsidP="00622A36">
      <w:pPr>
        <w:pStyle w:val="ListParagraph"/>
        <w:numPr>
          <w:ilvl w:val="0"/>
          <w:numId w:val="4"/>
        </w:numPr>
        <w:spacing w:after="20" w:line="240" w:lineRule="auto"/>
        <w:ind w:left="90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Ad esempio: un assistente amministrativo, che crea un invio di attività per conto di un Product Manager è un </w:t>
      </w:r>
      <w:r w:rsidRPr="009F5D07">
        <w:rPr>
          <w:rFonts w:ascii="Teva Sans Light" w:eastAsia="Teva Sans" w:hAnsi="Teva Sans Light" w:cs="Arial"/>
          <w:i/>
          <w:iCs/>
          <w:sz w:val="24"/>
          <w:szCs w:val="24"/>
          <w:u w:val="single"/>
          <w:lang w:val="it-IT"/>
        </w:rPr>
        <w:t>Richiedente</w:t>
      </w:r>
      <w:r w:rsidRPr="009F5D07">
        <w:rPr>
          <w:rFonts w:ascii="Teva Sans Light" w:eastAsia="Teva Sans" w:hAnsi="Teva Sans Light" w:cs="Arial"/>
          <w:sz w:val="24"/>
          <w:szCs w:val="24"/>
          <w:lang w:val="it-IT"/>
        </w:rPr>
        <w:t>, mentre il Product Manager è l’</w:t>
      </w:r>
      <w:r w:rsidRPr="009F5D07">
        <w:rPr>
          <w:rFonts w:ascii="Teva Sans Light" w:eastAsia="Teva Sans" w:hAnsi="Teva Sans Light" w:cs="Arial"/>
          <w:i/>
          <w:iCs/>
          <w:sz w:val="24"/>
          <w:szCs w:val="24"/>
          <w:u w:val="single"/>
          <w:lang w:val="it-IT"/>
        </w:rPr>
        <w:t>Originatore del progetto</w:t>
      </w:r>
    </w:p>
    <w:p w:rsidR="00622A36" w:rsidRPr="009F5D07" w:rsidRDefault="00622A36" w:rsidP="00622A36">
      <w:pPr>
        <w:pStyle w:val="ListParagraph"/>
        <w:numPr>
          <w:ilvl w:val="0"/>
          <w:numId w:val="4"/>
        </w:numPr>
        <w:spacing w:after="20" w:line="240" w:lineRule="auto"/>
        <w:ind w:left="900"/>
        <w:contextualSpacing w:val="0"/>
        <w:rPr>
          <w:rFonts w:ascii="Teva Sans Light" w:hAnsi="Teva Sans Light" w:cstheme="minorHAnsi"/>
          <w:sz w:val="24"/>
          <w:szCs w:val="24"/>
        </w:rPr>
      </w:pPr>
      <w:r w:rsidRPr="009F5D07">
        <w:rPr>
          <w:rFonts w:ascii="Teva Sans Light" w:eastAsia="Teva Sans" w:hAnsi="Teva Sans Light" w:cs="Arial"/>
          <w:sz w:val="24"/>
          <w:szCs w:val="24"/>
          <w:lang w:val="it-IT"/>
        </w:rPr>
        <w:t>Prima che un’attività possa essere chiusa, l’Originatore del progetto deve certificare l’allineamento delle attività alla politica e alle procedure di Teva</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2"/>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Le modifiche FMV sono necessarie per superare il </w:t>
      </w:r>
      <w:r w:rsidRPr="009F5D07">
        <w:rPr>
          <w:rFonts w:ascii="Teva Sans Light" w:eastAsia="Teva Sans" w:hAnsi="Teva Sans Light" w:cs="Arial"/>
          <w:i/>
          <w:iCs/>
          <w:sz w:val="24"/>
          <w:szCs w:val="24"/>
          <w:u w:val="single"/>
          <w:lang w:val="it-IT"/>
        </w:rPr>
        <w:t>tempo di preparazione</w:t>
      </w:r>
      <w:r w:rsidRPr="009F5D07">
        <w:rPr>
          <w:rFonts w:ascii="Teva Sans Light" w:eastAsia="Teva Sans" w:hAnsi="Teva Sans Light" w:cs="Arial"/>
          <w:sz w:val="24"/>
          <w:szCs w:val="24"/>
          <w:lang w:val="it-IT"/>
        </w:rPr>
        <w:t xml:space="preserve"> massimo o il </w:t>
      </w:r>
      <w:r w:rsidRPr="009F5D07">
        <w:rPr>
          <w:rFonts w:ascii="Teva Sans Light" w:eastAsia="Teva Sans" w:hAnsi="Teva Sans Light" w:cs="Arial"/>
          <w:i/>
          <w:iCs/>
          <w:sz w:val="24"/>
          <w:szCs w:val="24"/>
          <w:u w:val="single"/>
          <w:lang w:val="it-IT"/>
        </w:rPr>
        <w:t>tempo di viaggio</w:t>
      </w:r>
      <w:r w:rsidRPr="009F5D07">
        <w:rPr>
          <w:rFonts w:ascii="Teva Sans Light" w:eastAsia="Teva Sans" w:hAnsi="Teva Sans Light" w:cs="Arial"/>
          <w:sz w:val="24"/>
          <w:szCs w:val="24"/>
          <w:lang w:val="it-IT"/>
        </w:rPr>
        <w:t xml:space="preserve"> massimo, per modificare il </w:t>
      </w:r>
      <w:r w:rsidRPr="009F5D07">
        <w:rPr>
          <w:rFonts w:ascii="Teva Sans Light" w:eastAsia="Teva Sans" w:hAnsi="Teva Sans Light" w:cs="Arial"/>
          <w:i/>
          <w:iCs/>
          <w:sz w:val="24"/>
          <w:szCs w:val="24"/>
          <w:u w:val="single"/>
          <w:lang w:val="it-IT"/>
        </w:rPr>
        <w:t>Livello</w:t>
      </w:r>
      <w:r w:rsidRPr="009F5D07">
        <w:rPr>
          <w:rFonts w:ascii="Teva Sans Light" w:eastAsia="Teva Sans" w:hAnsi="Teva Sans Light" w:cs="Arial"/>
          <w:sz w:val="24"/>
          <w:szCs w:val="24"/>
          <w:lang w:val="it-IT"/>
        </w:rPr>
        <w:t xml:space="preserve"> attuale di un HCP o per richiedere una </w:t>
      </w:r>
      <w:r w:rsidRPr="009F5D07">
        <w:rPr>
          <w:rFonts w:ascii="Teva Sans Light" w:eastAsia="Teva Sans" w:hAnsi="Teva Sans Light" w:cs="Arial"/>
          <w:i/>
          <w:iCs/>
          <w:sz w:val="24"/>
          <w:szCs w:val="24"/>
          <w:u w:val="single"/>
          <w:lang w:val="it-IT"/>
        </w:rPr>
        <w:t>modifica una tantum della tariffa</w:t>
      </w:r>
      <w:r w:rsidRPr="009F5D07">
        <w:rPr>
          <w:rFonts w:ascii="Teva Sans Light" w:eastAsia="Teva Sans" w:hAnsi="Teva Sans Light" w:cs="Arial"/>
          <w:sz w:val="24"/>
          <w:szCs w:val="24"/>
          <w:lang w:val="it-IT"/>
        </w:rPr>
        <w:t xml:space="preserve"> o una </w:t>
      </w:r>
      <w:r w:rsidRPr="009F5D07">
        <w:rPr>
          <w:rFonts w:ascii="Teva Sans Light" w:eastAsia="Teva Sans" w:hAnsi="Teva Sans Light" w:cs="Arial"/>
          <w:i/>
          <w:iCs/>
          <w:sz w:val="24"/>
          <w:szCs w:val="24"/>
          <w:u w:val="single"/>
          <w:lang w:val="it-IT"/>
        </w:rPr>
        <w:t>modifica permanente della tariffa</w:t>
      </w:r>
      <w:r w:rsidRPr="009F5D07">
        <w:rPr>
          <w:rFonts w:ascii="Teva Sans Light" w:eastAsia="Teva Sans" w:hAnsi="Teva Sans Light" w:cs="Arial"/>
          <w:sz w:val="24"/>
          <w:szCs w:val="24"/>
          <w:lang w:val="it-IT"/>
        </w:rPr>
        <w:t>.</w:t>
      </w:r>
    </w:p>
    <w:p w:rsidR="00622A36" w:rsidRPr="009F5D07" w:rsidRDefault="00622A36" w:rsidP="00622A36">
      <w:pPr>
        <w:spacing w:after="20" w:line="240" w:lineRule="auto"/>
        <w:ind w:left="180"/>
        <w:rPr>
          <w:rFonts w:ascii="Teva Sans Light" w:hAnsi="Teva Sans Light"/>
          <w:sz w:val="24"/>
          <w:szCs w:val="24"/>
        </w:rPr>
      </w:pPr>
    </w:p>
    <w:p w:rsidR="00622A36" w:rsidRPr="009F5D07" w:rsidRDefault="00622A36" w:rsidP="00622A36">
      <w:pPr>
        <w:pStyle w:val="ListParagraph"/>
        <w:numPr>
          <w:ilvl w:val="0"/>
          <w:numId w:val="2"/>
        </w:numPr>
        <w:spacing w:after="20" w:line="240" w:lineRule="auto"/>
        <w:ind w:left="540"/>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La funzione Medica è una parte obbligatoria del flusso di lavoro di revisione (1) quando viene nominato un nuovo Fornitore di servizi che richiede un Livello, oppure (2) quando viene richiesta una modifica di Livello tramite una modifica FMV. </w:t>
      </w:r>
    </w:p>
    <w:p w:rsidR="00622A36" w:rsidRPr="009F5D07" w:rsidRDefault="00622A36" w:rsidP="00622A36">
      <w:pPr>
        <w:pStyle w:val="Heading2"/>
        <w:rPr>
          <w:rFonts w:ascii="Teva Sans Light" w:hAnsi="Teva Sans Light"/>
          <w:b/>
          <w:sz w:val="24"/>
          <w:szCs w:val="24"/>
        </w:rPr>
      </w:pPr>
    </w:p>
    <w:p w:rsidR="00622A36" w:rsidRPr="009F5D07" w:rsidRDefault="00622A36" w:rsidP="00622A36">
      <w:pPr>
        <w:pStyle w:val="Heading2"/>
        <w:rPr>
          <w:rFonts w:ascii="Teva Sans Light" w:hAnsi="Teva Sans Light"/>
          <w:b/>
          <w:sz w:val="24"/>
          <w:szCs w:val="24"/>
        </w:rPr>
      </w:pPr>
      <w:bookmarkStart w:id="6" w:name="_Toc119923199"/>
      <w:bookmarkStart w:id="7" w:name="_Toc121744780"/>
      <w:proofErr w:type="spellStart"/>
      <w:r w:rsidRPr="009F5D07">
        <w:rPr>
          <w:rFonts w:ascii="Teva Sans Light" w:hAnsi="Teva Sans Light"/>
          <w:b/>
          <w:sz w:val="24"/>
          <w:szCs w:val="24"/>
        </w:rPr>
        <w:t>Controlli</w:t>
      </w:r>
      <w:proofErr w:type="spellEnd"/>
      <w:r w:rsidRPr="009F5D07">
        <w:rPr>
          <w:rFonts w:ascii="Teva Sans Light" w:hAnsi="Teva Sans Light"/>
          <w:b/>
          <w:sz w:val="24"/>
          <w:szCs w:val="24"/>
        </w:rPr>
        <w:t xml:space="preserve"> di </w:t>
      </w:r>
      <w:proofErr w:type="spellStart"/>
      <w:r w:rsidRPr="009F5D07">
        <w:rPr>
          <w:rFonts w:ascii="Teva Sans Light" w:hAnsi="Teva Sans Light"/>
          <w:b/>
          <w:sz w:val="24"/>
          <w:szCs w:val="24"/>
        </w:rPr>
        <w:t>sistema</w:t>
      </w:r>
      <w:bookmarkEnd w:id="6"/>
      <w:bookmarkEnd w:id="7"/>
      <w:proofErr w:type="spellEnd"/>
    </w:p>
    <w:p w:rsidR="00622A36" w:rsidRPr="009F5D07" w:rsidRDefault="00622A36" w:rsidP="00622A36">
      <w:pPr>
        <w:pStyle w:val="ListParagraph"/>
        <w:numPr>
          <w:ilvl w:val="0"/>
          <w:numId w:val="3"/>
        </w:numPr>
        <w:spacing w:after="20" w:line="240" w:lineRule="auto"/>
        <w:contextualSpacing w:val="0"/>
        <w:rPr>
          <w:rFonts w:ascii="Teva Sans Light" w:hAnsi="Teva Sans Light"/>
          <w:sz w:val="24"/>
          <w:szCs w:val="24"/>
        </w:rPr>
      </w:pPr>
      <w:r w:rsidRPr="009F5D07">
        <w:rPr>
          <w:rFonts w:ascii="Teva Sans Light" w:eastAsia="Teva Sans" w:hAnsi="Teva Sans Light" w:cs="Arial"/>
          <w:sz w:val="24"/>
          <w:szCs w:val="24"/>
          <w:lang w:val="it-IT"/>
        </w:rPr>
        <w:t>In EngageMate non è possibile retrodatare le attività.</w:t>
      </w:r>
    </w:p>
    <w:p w:rsidR="00622A36" w:rsidRPr="009F5D07" w:rsidRDefault="00622A36" w:rsidP="00622A36">
      <w:pPr>
        <w:spacing w:after="20" w:line="240" w:lineRule="auto"/>
        <w:ind w:left="360"/>
        <w:rPr>
          <w:rFonts w:ascii="Teva Sans Light" w:hAnsi="Teva Sans Light"/>
          <w:sz w:val="24"/>
          <w:szCs w:val="24"/>
        </w:rPr>
      </w:pPr>
    </w:p>
    <w:p w:rsidR="00622A36" w:rsidRPr="009F5D07" w:rsidRDefault="00622A36" w:rsidP="00622A36">
      <w:pPr>
        <w:pStyle w:val="ListParagraph"/>
        <w:numPr>
          <w:ilvl w:val="0"/>
          <w:numId w:val="3"/>
        </w:numPr>
        <w:spacing w:after="20" w:line="240" w:lineRule="auto"/>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Un Richiedente non può essere anche Originatore del progetto nello stesso invio (ovvero, non è possibile selezionare se stessi come Originatore del progetto). </w:t>
      </w:r>
    </w:p>
    <w:p w:rsidR="00622A36" w:rsidRPr="009F5D07" w:rsidRDefault="00622A36" w:rsidP="00622A36">
      <w:pPr>
        <w:spacing w:after="20" w:line="240" w:lineRule="auto"/>
        <w:ind w:left="360"/>
        <w:rPr>
          <w:rFonts w:ascii="Teva Sans Light" w:hAnsi="Teva Sans Light"/>
          <w:sz w:val="24"/>
          <w:szCs w:val="24"/>
        </w:rPr>
      </w:pPr>
    </w:p>
    <w:p w:rsidR="00622A36" w:rsidRPr="009F5D07" w:rsidRDefault="00622A36" w:rsidP="00622A36">
      <w:pPr>
        <w:pStyle w:val="ListParagraph"/>
        <w:numPr>
          <w:ilvl w:val="0"/>
          <w:numId w:val="3"/>
        </w:numPr>
        <w:spacing w:after="20" w:line="240" w:lineRule="auto"/>
        <w:contextualSpacing w:val="0"/>
        <w:rPr>
          <w:rFonts w:ascii="Teva Sans Light" w:hAnsi="Teva Sans Light"/>
          <w:sz w:val="24"/>
          <w:szCs w:val="24"/>
        </w:rPr>
      </w:pPr>
      <w:r w:rsidRPr="009F5D07">
        <w:rPr>
          <w:rFonts w:ascii="Teva Sans Light" w:eastAsia="Teva Sans" w:hAnsi="Teva Sans Light" w:cs="Arial"/>
          <w:sz w:val="24"/>
          <w:szCs w:val="24"/>
          <w:lang w:val="it-IT"/>
        </w:rPr>
        <w:t>Tutte le Attività internazionali richiedono l’inserimento dei dati di spesa dettagliati (per HCP/HCO) e della documentazione di supporto (ad es. contratto firmato, fattura, prova del servizio, prova di pagamento, ecc.) nella sezione di chiusura dell’attività.</w:t>
      </w:r>
    </w:p>
    <w:p w:rsidR="00622A36" w:rsidRPr="009F5D07" w:rsidRDefault="00622A36" w:rsidP="00622A36">
      <w:pPr>
        <w:spacing w:after="20" w:line="240" w:lineRule="auto"/>
        <w:ind w:left="360"/>
        <w:rPr>
          <w:rFonts w:ascii="Teva Sans Light" w:hAnsi="Teva Sans Light"/>
          <w:sz w:val="24"/>
          <w:szCs w:val="24"/>
        </w:rPr>
      </w:pPr>
    </w:p>
    <w:p w:rsidR="00622A36" w:rsidRPr="009F5D07" w:rsidRDefault="00622A36" w:rsidP="00622A36">
      <w:pPr>
        <w:pStyle w:val="ListParagraph"/>
        <w:numPr>
          <w:ilvl w:val="0"/>
          <w:numId w:val="3"/>
        </w:numPr>
        <w:spacing w:after="20" w:line="240" w:lineRule="auto"/>
        <w:contextualSpacing w:val="0"/>
        <w:rPr>
          <w:rFonts w:ascii="Teva Sans Light" w:hAnsi="Teva Sans Light"/>
          <w:sz w:val="24"/>
          <w:szCs w:val="24"/>
        </w:rPr>
      </w:pPr>
      <w:r w:rsidRPr="009F5D07">
        <w:rPr>
          <w:rFonts w:ascii="Teva Sans Light" w:eastAsia="Teva Sans" w:hAnsi="Teva Sans Light" w:cs="Arial"/>
          <w:sz w:val="24"/>
          <w:szCs w:val="24"/>
          <w:lang w:val="it-IT"/>
        </w:rPr>
        <w:t xml:space="preserve">L’attività </w:t>
      </w:r>
      <w:r w:rsidRPr="009F5D07">
        <w:rPr>
          <w:rFonts w:ascii="Teva Sans Light" w:eastAsia="Teva Sans" w:hAnsi="Teva Sans Light" w:cs="Arial"/>
          <w:i/>
          <w:iCs/>
          <w:sz w:val="24"/>
          <w:szCs w:val="24"/>
          <w:u w:val="single"/>
          <w:lang w:val="it-IT"/>
        </w:rPr>
        <w:t>approvata</w:t>
      </w:r>
      <w:r w:rsidRPr="009F5D07">
        <w:rPr>
          <w:rFonts w:ascii="Teva Sans Light" w:eastAsia="Teva Sans" w:hAnsi="Teva Sans Light" w:cs="Arial"/>
          <w:sz w:val="24"/>
          <w:szCs w:val="24"/>
          <w:lang w:val="it-IT"/>
        </w:rPr>
        <w:t xml:space="preserve"> (o le attività approvate) passa allo stato di chiusura 1 giorno dopo la data di inizio dell’attività.</w:t>
      </w:r>
    </w:p>
    <w:p w:rsidR="00622A36" w:rsidRPr="009F5D07" w:rsidRDefault="00622A36" w:rsidP="00622A36">
      <w:pPr>
        <w:spacing w:after="20" w:line="240" w:lineRule="auto"/>
        <w:ind w:left="360"/>
        <w:rPr>
          <w:rFonts w:ascii="Teva Sans Light" w:hAnsi="Teva Sans Light"/>
          <w:sz w:val="24"/>
          <w:szCs w:val="24"/>
        </w:rPr>
      </w:pPr>
    </w:p>
    <w:p w:rsidR="00622A36" w:rsidRPr="009F5D07" w:rsidRDefault="00622A36" w:rsidP="00622A36">
      <w:pPr>
        <w:pStyle w:val="ListParagraph"/>
        <w:numPr>
          <w:ilvl w:val="0"/>
          <w:numId w:val="3"/>
        </w:numPr>
        <w:spacing w:after="20" w:line="240" w:lineRule="auto"/>
        <w:contextualSpacing w:val="0"/>
        <w:rPr>
          <w:rFonts w:ascii="Teva Sans Light" w:hAnsi="Teva Sans Light"/>
          <w:sz w:val="24"/>
          <w:szCs w:val="24"/>
        </w:rPr>
      </w:pPr>
      <w:r w:rsidRPr="009F5D07">
        <w:rPr>
          <w:rFonts w:ascii="Teva Sans Light" w:eastAsia="Teva Sans" w:hAnsi="Teva Sans Light" w:cs="Calibri"/>
          <w:sz w:val="24"/>
          <w:szCs w:val="24"/>
          <w:lang w:val="it-IT"/>
        </w:rPr>
        <w:t xml:space="preserve">Se necessario, gli utenti possono continuare a caricare documenti per le attività in stato </w:t>
      </w:r>
      <w:r w:rsidRPr="009F5D07">
        <w:rPr>
          <w:rFonts w:ascii="Teva Sans Light" w:eastAsia="Teva Sans" w:hAnsi="Teva Sans Light" w:cs="Calibri"/>
          <w:i/>
          <w:iCs/>
          <w:sz w:val="24"/>
          <w:szCs w:val="24"/>
          <w:u w:val="single"/>
          <w:lang w:val="it-IT"/>
        </w:rPr>
        <w:t>Chiuso</w:t>
      </w:r>
      <w:r w:rsidRPr="009F5D07">
        <w:rPr>
          <w:rFonts w:ascii="Teva Sans Light" w:eastAsia="Teva Sans" w:hAnsi="Teva Sans Light" w:cs="Calibri"/>
          <w:sz w:val="24"/>
          <w:szCs w:val="24"/>
          <w:lang w:val="it-IT"/>
        </w:rPr>
        <w:t xml:space="preserve">. Tuttavia, non è possibile eliminare documenti. </w:t>
      </w:r>
    </w:p>
    <w:p w:rsidR="00622A36" w:rsidRPr="009F5D07" w:rsidRDefault="00622A36" w:rsidP="00622A36">
      <w:pPr>
        <w:spacing w:after="20" w:line="240" w:lineRule="auto"/>
        <w:ind w:left="360"/>
        <w:rPr>
          <w:rFonts w:ascii="Teva Sans Light" w:hAnsi="Teva Sans Light"/>
          <w:sz w:val="24"/>
          <w:szCs w:val="24"/>
        </w:rPr>
      </w:pPr>
    </w:p>
    <w:p w:rsidR="00622A36" w:rsidRPr="00622A36" w:rsidRDefault="00622A36" w:rsidP="00622A36">
      <w:pPr>
        <w:pStyle w:val="ListParagraph"/>
        <w:numPr>
          <w:ilvl w:val="0"/>
          <w:numId w:val="3"/>
        </w:numPr>
        <w:rPr>
          <w:rFonts w:ascii="Teva Sans Light" w:eastAsia="Teva Sans" w:hAnsi="Teva Sans Light" w:cs="Calibri"/>
          <w:sz w:val="24"/>
          <w:szCs w:val="24"/>
          <w:lang w:val="it-IT"/>
        </w:rPr>
      </w:pPr>
      <w:r w:rsidRPr="00622A36">
        <w:rPr>
          <w:rFonts w:ascii="Teva Sans Light" w:eastAsia="Teva Sans" w:hAnsi="Teva Sans Light" w:cs="Calibri"/>
          <w:sz w:val="24"/>
          <w:szCs w:val="24"/>
          <w:lang w:val="it-IT"/>
        </w:rPr>
        <w:t>Il Comitato consultivo/incontro esperti ha un flusso di lavoro di revisione in due parti: la prima è il concetto del Comitato consultivo/incontro esperti, la seconda sono i candidati.</w:t>
      </w:r>
    </w:p>
    <w:p w:rsidR="003C1966" w:rsidRDefault="00622A36">
      <w:pPr>
        <w:pStyle w:val="Heading1"/>
        <w:spacing w:before="0"/>
        <w:rPr>
          <w:rFonts w:cstheme="minorHAnsi"/>
          <w:b/>
          <w:sz w:val="28"/>
          <w:szCs w:val="24"/>
          <w:u w:val="single"/>
          <w:lang w:val="it-IT"/>
        </w:rPr>
      </w:pPr>
      <w:bookmarkStart w:id="8" w:name="_Toc121744781"/>
      <w:r>
        <w:rPr>
          <w:rFonts w:ascii="Calibri Light" w:eastAsia="Calibri Light" w:hAnsi="Calibri Light" w:cs="Times New Roman"/>
          <w:b/>
          <w:bCs/>
          <w:color w:val="2E74B5"/>
          <w:sz w:val="36"/>
          <w:szCs w:val="36"/>
          <w:lang w:val="it-IT"/>
        </w:rPr>
        <w:t>P</w:t>
      </w:r>
      <w:r>
        <w:rPr>
          <w:rFonts w:ascii="Calibri Light" w:eastAsia="Calibri Light" w:hAnsi="Calibri Light" w:cs="Times New Roman"/>
          <w:b/>
          <w:bCs/>
          <w:color w:val="2E74B5"/>
          <w:sz w:val="36"/>
          <w:szCs w:val="36"/>
          <w:lang w:val="it-IT"/>
        </w:rPr>
        <w:t xml:space="preserve">arte 2 </w:t>
      </w:r>
      <w:r>
        <w:rPr>
          <w:rFonts w:ascii="Calibri Light" w:eastAsia="Calibri Light" w:hAnsi="Calibri Light" w:cs="Times New Roman"/>
          <w:b/>
          <w:bCs/>
          <w:color w:val="2E74B5"/>
          <w:sz w:val="36"/>
          <w:szCs w:val="36"/>
          <w:lang w:val="it-IT"/>
        </w:rPr>
        <w:t>novembre 2022</w:t>
      </w:r>
      <w:bookmarkEnd w:id="8"/>
    </w:p>
    <w:p w:rsidR="003C1966" w:rsidRDefault="00622A36">
      <w:pPr>
        <w:pStyle w:val="Heading2"/>
        <w:rPr>
          <w:b/>
          <w:lang w:val="it-IT"/>
        </w:rPr>
      </w:pPr>
      <w:bookmarkStart w:id="9" w:name="_Toc121744782"/>
      <w:r>
        <w:rPr>
          <w:rFonts w:ascii="Calibri Light" w:eastAsia="Calibri Light" w:hAnsi="Calibri Light" w:cs="Times New Roman"/>
          <w:b/>
          <w:bCs/>
          <w:color w:val="2E74B5"/>
          <w:lang w:val="it-IT"/>
        </w:rPr>
        <w:t>Video di formazione su EngageMate</w:t>
      </w:r>
      <w:bookmarkEnd w:id="9"/>
    </w:p>
    <w:p w:rsidR="003C1966" w:rsidRDefault="00622A36">
      <w:pPr>
        <w:pStyle w:val="ListParagraph"/>
        <w:numPr>
          <w:ilvl w:val="0"/>
          <w:numId w:val="6"/>
        </w:numPr>
        <w:spacing w:after="20" w:line="240" w:lineRule="auto"/>
        <w:ind w:left="540"/>
        <w:contextualSpacing w:val="0"/>
        <w:rPr>
          <w:rFonts w:ascii="Teva Sans Light" w:hAnsi="Teva Sans Light" w:cstheme="minorHAnsi"/>
          <w:sz w:val="24"/>
          <w:szCs w:val="24"/>
          <w:lang w:val="it-IT"/>
        </w:rPr>
      </w:pPr>
      <w:r>
        <w:rPr>
          <w:rFonts w:ascii="Teva Sans Light" w:eastAsia="Teva Sans Light" w:hAnsi="Teva Sans Light" w:cs="Calibri"/>
          <w:sz w:val="24"/>
          <w:szCs w:val="24"/>
          <w:lang w:val="it-IT"/>
        </w:rPr>
        <w:t>Sono stati creati diversi video di formazione per aiutarti. Puoi visualizzarli visitando il sito Teva Tube (</w:t>
      </w:r>
      <w:hyperlink r:id="rId8" w:history="1">
        <w:r>
          <w:rPr>
            <w:rFonts w:ascii="Teva Sans Light" w:eastAsia="Teva Sans Light" w:hAnsi="Teva Sans Light" w:cs="Arial"/>
            <w:lang w:val="it-IT"/>
          </w:rPr>
          <w:t>https://vod.tevapharm.com/</w:t>
        </w:r>
      </w:hyperlink>
      <w:r>
        <w:rPr>
          <w:rFonts w:ascii="Teva Sans Light" w:eastAsia="Teva Sans Light" w:hAnsi="Teva Sans Light" w:cs="Calibri"/>
          <w:sz w:val="24"/>
          <w:szCs w:val="24"/>
          <w:lang w:val="it-IT"/>
        </w:rPr>
        <w:t xml:space="preserve">) e cercando il canale </w:t>
      </w:r>
      <w:r>
        <w:rPr>
          <w:rFonts w:ascii="Teva Sans Light" w:eastAsia="Teva Sans Light" w:hAnsi="Teva Sans Light" w:cs="Calibri"/>
          <w:sz w:val="24"/>
          <w:szCs w:val="24"/>
          <w:u w:val="single"/>
          <w:lang w:val="it-IT"/>
        </w:rPr>
        <w:t>EngageMate</w:t>
      </w:r>
      <w:r>
        <w:rPr>
          <w:rFonts w:ascii="Teva Sans Light" w:eastAsia="Teva Sans Light" w:hAnsi="Teva Sans Light" w:cs="Calibri"/>
          <w:sz w:val="24"/>
          <w:szCs w:val="24"/>
          <w:lang w:val="it-IT"/>
        </w:rPr>
        <w:t xml:space="preserve">. </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6"/>
        </w:numPr>
        <w:spacing w:after="20" w:line="240" w:lineRule="auto"/>
        <w:ind w:left="540"/>
        <w:contextualSpacing w:val="0"/>
        <w:rPr>
          <w:rFonts w:ascii="Teva Sans Light" w:hAnsi="Teva Sans Light" w:cstheme="minorHAnsi"/>
          <w:sz w:val="24"/>
          <w:szCs w:val="24"/>
          <w:lang w:val="it-IT"/>
        </w:rPr>
      </w:pPr>
      <w:r>
        <w:rPr>
          <w:rFonts w:ascii="Teva Sans Light" w:eastAsia="Teva Sans Light" w:hAnsi="Teva Sans Light" w:cs="Calibri"/>
          <w:sz w:val="24"/>
          <w:szCs w:val="24"/>
          <w:lang w:val="it-IT"/>
        </w:rPr>
        <w:t xml:space="preserve">Inoltre, i video di formazione relativi a EngageMate sono contrassegnati con </w:t>
      </w:r>
      <w:r>
        <w:rPr>
          <w:rFonts w:ascii="Teva Sans Light" w:eastAsia="Teva Sans Light" w:hAnsi="Teva Sans Light" w:cs="Calibri"/>
          <w:sz w:val="24"/>
          <w:szCs w:val="24"/>
          <w:u w:val="single"/>
          <w:lang w:val="it-IT"/>
        </w:rPr>
        <w:t>#engagemate</w:t>
      </w:r>
      <w:r>
        <w:rPr>
          <w:rFonts w:ascii="Teva Sans Light" w:eastAsia="Teva Sans Light" w:hAnsi="Teva Sans Light" w:cs="Calibri"/>
          <w:sz w:val="24"/>
          <w:szCs w:val="24"/>
          <w:lang w:val="it-IT"/>
        </w:rPr>
        <w:t xml:space="preserve"> per facilitarne la ricerca.</w:t>
      </w:r>
    </w:p>
    <w:p w:rsidR="003C1966" w:rsidRDefault="003C1966">
      <w:pPr>
        <w:pStyle w:val="Heading2"/>
        <w:rPr>
          <w:b/>
          <w:lang w:val="it-IT"/>
        </w:rPr>
      </w:pPr>
    </w:p>
    <w:p w:rsidR="003C1966" w:rsidRDefault="00622A36">
      <w:pPr>
        <w:pStyle w:val="Heading2"/>
        <w:rPr>
          <w:b/>
        </w:rPr>
      </w:pPr>
      <w:bookmarkStart w:id="10" w:name="_Toc121744783"/>
      <w:r>
        <w:rPr>
          <w:rFonts w:ascii="Calibri Light" w:eastAsia="Calibri Light" w:hAnsi="Calibri Light" w:cs="Times New Roman"/>
          <w:b/>
          <w:bCs/>
          <w:color w:val="2E74B5"/>
          <w:lang w:val="it-IT"/>
        </w:rPr>
        <w:t>Funzionalità di sistema</w:t>
      </w:r>
      <w:bookmarkEnd w:id="10"/>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Calibri"/>
          <w:sz w:val="24"/>
          <w:szCs w:val="24"/>
          <w:lang w:val="it-IT"/>
        </w:rPr>
        <w:t xml:space="preserve">Quando </w:t>
      </w:r>
      <w:r>
        <w:rPr>
          <w:rFonts w:ascii="Teva Sans Light" w:eastAsia="Teva Sans Light" w:hAnsi="Teva Sans Light" w:cs="Calibri"/>
          <w:b/>
          <w:bCs/>
          <w:sz w:val="24"/>
          <w:szCs w:val="24"/>
          <w:lang w:val="it-IT"/>
        </w:rPr>
        <w:t>copi un’attività</w:t>
      </w:r>
      <w:r>
        <w:rPr>
          <w:rFonts w:ascii="Teva Sans Light" w:eastAsia="Teva Sans Light" w:hAnsi="Teva Sans Light" w:cs="Calibri"/>
          <w:sz w:val="24"/>
          <w:szCs w:val="24"/>
          <w:lang w:val="it-IT"/>
        </w:rPr>
        <w:t xml:space="preserve"> in EngageMate, nella nuova attività vengono copiati anche i documenti carica</w:t>
      </w:r>
      <w:r>
        <w:rPr>
          <w:rFonts w:ascii="Teva Sans Light" w:eastAsia="Teva Sans Light" w:hAnsi="Teva Sans Light" w:cs="Calibri"/>
          <w:sz w:val="24"/>
          <w:szCs w:val="24"/>
          <w:lang w:val="it-IT"/>
        </w:rPr>
        <w:t>ti nell’invio originale. Se la documentazione non è rilevante per l’attività appena copiata, deve essere eliminata.</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Calibri"/>
          <w:sz w:val="24"/>
          <w:szCs w:val="24"/>
          <w:lang w:val="it-IT"/>
        </w:rPr>
        <w:t>Nel caso delle attività HIP migrate a EngageMate, i documenti associati non saranno caricati. La documentazione per queste attività fa part</w:t>
      </w:r>
      <w:r>
        <w:rPr>
          <w:rFonts w:ascii="Teva Sans Light" w:eastAsia="Teva Sans Light" w:hAnsi="Teva Sans Light" w:cs="Calibri"/>
          <w:sz w:val="24"/>
          <w:szCs w:val="24"/>
          <w:lang w:val="it-IT"/>
        </w:rPr>
        <w:t>e del registro archiviato HIP.</w:t>
      </w:r>
    </w:p>
    <w:p w:rsidR="003C1966" w:rsidRDefault="003C1966">
      <w:pPr>
        <w:pStyle w:val="ListParagraph"/>
        <w:rPr>
          <w:rFonts w:ascii="Teva Sans Light" w:hAnsi="Teva Sans Light" w:cstheme="minorHAnsi"/>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Calibri"/>
          <w:sz w:val="24"/>
          <w:szCs w:val="24"/>
          <w:lang w:val="it-IT"/>
        </w:rPr>
        <w:t>Puoi caricare un nuovo CV modificando il profilo del Fornitore di servizi. Potrai eliminare il CV esistente.</w:t>
      </w:r>
    </w:p>
    <w:p w:rsidR="003C1966" w:rsidRDefault="003C1966">
      <w:pPr>
        <w:spacing w:after="20" w:line="240" w:lineRule="auto"/>
        <w:ind w:left="180"/>
        <w:rPr>
          <w:rFonts w:ascii="Teva Sans Light" w:hAnsi="Teva Sans Light" w:cstheme="minorHAnsi"/>
          <w:sz w:val="24"/>
          <w:szCs w:val="24"/>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Calibri"/>
          <w:b/>
          <w:bCs/>
          <w:sz w:val="24"/>
          <w:szCs w:val="24"/>
          <w:u w:val="single"/>
          <w:lang w:val="it-IT"/>
        </w:rPr>
        <w:t>Non</w:t>
      </w:r>
      <w:r>
        <w:rPr>
          <w:rFonts w:ascii="Teva Sans Light" w:eastAsia="Teva Sans Light" w:hAnsi="Teva Sans Light" w:cs="Calibri"/>
          <w:sz w:val="24"/>
          <w:szCs w:val="24"/>
          <w:lang w:val="it-IT"/>
        </w:rPr>
        <w:t xml:space="preserve"> rispondere ai messaggi e-mail automatici ricevuti da EngageMate. Quella casella postale </w:t>
      </w:r>
      <w:r>
        <w:rPr>
          <w:rFonts w:ascii="Teva Sans Light" w:eastAsia="Teva Sans Light" w:hAnsi="Teva Sans Light" w:cs="Calibri"/>
          <w:b/>
          <w:bCs/>
          <w:sz w:val="24"/>
          <w:szCs w:val="24"/>
          <w:u w:val="single"/>
          <w:lang w:val="it-IT"/>
        </w:rPr>
        <w:t>non</w:t>
      </w:r>
      <w:r>
        <w:rPr>
          <w:rFonts w:ascii="Teva Sans Light" w:eastAsia="Teva Sans Light" w:hAnsi="Teva Sans Light" w:cs="Calibri"/>
          <w:sz w:val="24"/>
          <w:szCs w:val="24"/>
          <w:lang w:val="it-IT"/>
        </w:rPr>
        <w:t xml:space="preserve"> è monitorata e quindi non riceverai alcuna risposta. </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Arial"/>
          <w:bCs/>
          <w:sz w:val="24"/>
          <w:szCs w:val="24"/>
          <w:lang w:val="it-IT"/>
        </w:rPr>
        <w:t xml:space="preserve">Per </w:t>
      </w:r>
      <w:r>
        <w:rPr>
          <w:rFonts w:ascii="Teva Sans Light" w:eastAsia="Teva Sans Light" w:hAnsi="Teva Sans Light" w:cs="Arial"/>
          <w:b/>
          <w:bCs/>
          <w:sz w:val="24"/>
          <w:szCs w:val="24"/>
          <w:lang w:val="it-IT"/>
        </w:rPr>
        <w:t>cercare un Fornitore di servizi</w:t>
      </w:r>
      <w:r>
        <w:rPr>
          <w:rFonts w:ascii="Teva Sans Light" w:eastAsia="Teva Sans Light" w:hAnsi="Teva Sans Light" w:cs="Arial"/>
          <w:sz w:val="24"/>
          <w:szCs w:val="24"/>
          <w:lang w:val="it-IT"/>
        </w:rPr>
        <w:t xml:space="preserve">, ti consigliamo di utilizzare i campi “Nome locale”. I campi “Nome inglese” sono vuoti per la maggior parte dei fornitori di servizi. </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Calibri"/>
          <w:sz w:val="24"/>
          <w:szCs w:val="24"/>
          <w:lang w:val="it-IT"/>
        </w:rPr>
        <w:t>Quando utilizzi i campi “Nom</w:t>
      </w:r>
      <w:r>
        <w:rPr>
          <w:rFonts w:ascii="Teva Sans Light" w:eastAsia="Teva Sans Light" w:hAnsi="Teva Sans Light" w:cs="Calibri"/>
          <w:sz w:val="24"/>
          <w:szCs w:val="24"/>
          <w:lang w:val="it-IT"/>
        </w:rPr>
        <w:t>e inglese”, se non disponi di un nome inglese, puoi inserire il nome nella lingua locale rimuovendo eventuali caratteri speciali presenti nel nome, poiché non tutti gli utenti possono accedere facilmente a tali caratteri speciali sulla tastiera.</w:t>
      </w:r>
    </w:p>
    <w:p w:rsidR="003C1966" w:rsidRDefault="003C1966">
      <w:pPr>
        <w:pStyle w:val="ListParagraph"/>
        <w:rPr>
          <w:rFonts w:ascii="Teva Sans Light" w:hAnsi="Teva Sans Light"/>
          <w:b/>
          <w:bCs/>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Arial"/>
          <w:b/>
          <w:bCs/>
          <w:sz w:val="24"/>
          <w:szCs w:val="24"/>
          <w:lang w:val="it-IT"/>
        </w:rPr>
        <w:t xml:space="preserve">Revisore </w:t>
      </w:r>
      <w:r>
        <w:rPr>
          <w:rFonts w:ascii="Teva Sans Light" w:eastAsia="Teva Sans Light" w:hAnsi="Teva Sans Light" w:cs="Arial"/>
          <w:b/>
          <w:bCs/>
          <w:sz w:val="24"/>
          <w:szCs w:val="24"/>
          <w:lang w:val="it-IT"/>
        </w:rPr>
        <w:t>designato</w:t>
      </w:r>
      <w:r>
        <w:rPr>
          <w:rFonts w:ascii="Teva Sans Light" w:eastAsia="Teva Sans Light" w:hAnsi="Teva Sans Light" w:cs="Arial"/>
          <w:sz w:val="24"/>
          <w:szCs w:val="24"/>
          <w:lang w:val="it-IT"/>
        </w:rPr>
        <w:t xml:space="preserve"> - se hai dubbi su chi selezionare come revisore designato, contatta il tuo Responsabile della compliance locale per ricevere indicazioni.</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Arial"/>
          <w:bCs/>
          <w:sz w:val="24"/>
          <w:szCs w:val="24"/>
          <w:lang w:val="it-IT"/>
        </w:rPr>
        <w:t xml:space="preserve">I </w:t>
      </w:r>
      <w:r>
        <w:rPr>
          <w:rFonts w:ascii="Teva Sans Light" w:eastAsia="Teva Sans Light" w:hAnsi="Teva Sans Light" w:cs="Arial"/>
          <w:b/>
          <w:bCs/>
          <w:sz w:val="24"/>
          <w:szCs w:val="24"/>
          <w:lang w:val="it-IT"/>
        </w:rPr>
        <w:t>Gruppi di valutazione</w:t>
      </w:r>
      <w:r>
        <w:rPr>
          <w:rFonts w:ascii="Teva Sans Light" w:eastAsia="Teva Sans Light" w:hAnsi="Teva Sans Light" w:cs="Arial"/>
          <w:sz w:val="24"/>
          <w:szCs w:val="24"/>
          <w:lang w:val="it-IT"/>
        </w:rPr>
        <w:t xml:space="preserve"> vengono impostati in EngageMate. Per le attività che richiedono una valutazione di </w:t>
      </w:r>
      <w:r>
        <w:rPr>
          <w:rFonts w:ascii="Teva Sans Light" w:eastAsia="Teva Sans Light" w:hAnsi="Teva Sans Light" w:cs="Arial"/>
          <w:sz w:val="24"/>
          <w:szCs w:val="24"/>
          <w:lang w:val="it-IT"/>
        </w:rPr>
        <w:t>livello 2, non occorre selezionare il revisore (o i revisori).</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Arial"/>
          <w:b/>
          <w:bCs/>
          <w:sz w:val="24"/>
          <w:szCs w:val="24"/>
          <w:lang w:val="it-IT"/>
        </w:rPr>
        <w:t>Utenti a doppio ruolo</w:t>
      </w:r>
      <w:r>
        <w:rPr>
          <w:rFonts w:ascii="Teva Sans Light" w:eastAsia="Teva Sans Light" w:hAnsi="Teva Sans Light" w:cs="Arial"/>
          <w:sz w:val="24"/>
          <w:szCs w:val="24"/>
          <w:lang w:val="it-IT"/>
        </w:rPr>
        <w:t xml:space="preserve"> - Alcuni utenti hanno più ruoli in EngageMate. Pertanto, se per accedere all’attività utilizzi il link presente nella notifica e-mail, ricordati di effettuare l’accesso u</w:t>
      </w:r>
      <w:r>
        <w:rPr>
          <w:rFonts w:ascii="Teva Sans Light" w:eastAsia="Teva Sans Light" w:hAnsi="Teva Sans Light" w:cs="Arial"/>
          <w:sz w:val="24"/>
          <w:szCs w:val="24"/>
          <w:lang w:val="it-IT"/>
        </w:rPr>
        <w:t>tilizzando lo stesso ruolo indicato nell’e-mail. Se accedi utilizzando il ruolo sbagliato, riceverai un messaggio di errore o non sarai in grado di lavorare.</w:t>
      </w:r>
    </w:p>
    <w:p w:rsidR="003C1966" w:rsidRDefault="00622A36">
      <w:pPr>
        <w:pStyle w:val="ListParagraph"/>
        <w:rPr>
          <w:rFonts w:ascii="Teva Sans Light" w:hAnsi="Teva Sans Light" w:cstheme="minorHAnsi"/>
          <w:sz w:val="4"/>
          <w:szCs w:val="4"/>
          <w:lang w:val="it-IT"/>
        </w:rPr>
      </w:pPr>
      <w:r>
        <w:rPr>
          <w:rFonts w:ascii="Teva Sans Light" w:hAnsi="Teva Sans Light" w:cstheme="minorHAnsi"/>
          <w:sz w:val="24"/>
          <w:szCs w:val="24"/>
          <w:lang w:val="it-IT"/>
        </w:rPr>
        <w:br w:type="column"/>
      </w: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Arial"/>
          <w:b/>
          <w:bCs/>
          <w:sz w:val="24"/>
          <w:szCs w:val="24"/>
          <w:lang w:val="it-IT"/>
        </w:rPr>
        <w:t>Richiesta di ulteriori informazioni</w:t>
      </w:r>
      <w:r>
        <w:rPr>
          <w:rFonts w:ascii="Teva Sans Light" w:eastAsia="Teva Sans Light" w:hAnsi="Teva Sans Light" w:cs="Arial"/>
          <w:sz w:val="24"/>
          <w:szCs w:val="24"/>
          <w:lang w:val="it-IT"/>
        </w:rPr>
        <w:t xml:space="preserve"> - Quando un Revisore seleziona “Richiesta di ulteriori infor</w:t>
      </w:r>
      <w:r>
        <w:rPr>
          <w:rFonts w:ascii="Teva Sans Light" w:eastAsia="Teva Sans Light" w:hAnsi="Teva Sans Light" w:cs="Arial"/>
          <w:sz w:val="24"/>
          <w:szCs w:val="24"/>
          <w:lang w:val="it-IT"/>
        </w:rPr>
        <w:t>mazioni”, viene riavviato l’intero ciclo di valutazione. Ciò significa che tutti i Revisori dovranno fornire nuovamente la propria valutazione e prendere una decisione dopo che il richiedente avrà aggiunto le informazioni aggiuntive necessarie.</w:t>
      </w:r>
    </w:p>
    <w:p w:rsidR="003C1966" w:rsidRDefault="003C1966">
      <w:pPr>
        <w:spacing w:after="20" w:line="240" w:lineRule="auto"/>
        <w:ind w:left="180"/>
        <w:rPr>
          <w:rFonts w:ascii="Teva Sans Light" w:hAnsi="Teva Sans Light"/>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sz w:val="24"/>
          <w:szCs w:val="24"/>
          <w:lang w:val="it-IT"/>
        </w:rPr>
      </w:pPr>
      <w:r>
        <w:rPr>
          <w:rFonts w:ascii="Teva Sans Light" w:eastAsia="Teva Sans Light" w:hAnsi="Teva Sans Light" w:cs="Arial"/>
          <w:b/>
          <w:bCs/>
          <w:sz w:val="24"/>
          <w:szCs w:val="24"/>
          <w:lang w:val="it-IT"/>
        </w:rPr>
        <w:t xml:space="preserve">Reviewers Tab (Scheda Revisori) </w:t>
      </w:r>
      <w:r>
        <w:rPr>
          <w:rFonts w:ascii="Teva Sans Light" w:eastAsia="Teva Sans Light" w:hAnsi="Teva Sans Light" w:cs="Arial"/>
          <w:sz w:val="24"/>
          <w:szCs w:val="24"/>
          <w:lang w:val="it-IT"/>
        </w:rPr>
        <w:t xml:space="preserve">- Questa scheda può risultare poco chiara perché elenca tutti i possibili revisori. Se vuoi sapere chi stia attualmente valutando l’attività e/o lo stato della stessa, devi controllare la scheda </w:t>
      </w:r>
      <w:r>
        <w:rPr>
          <w:rFonts w:ascii="Teva Sans Light" w:eastAsia="Teva Sans Light" w:hAnsi="Teva Sans Light" w:cs="Arial"/>
          <w:b/>
          <w:bCs/>
          <w:sz w:val="24"/>
          <w:szCs w:val="24"/>
          <w:lang w:val="it-IT"/>
        </w:rPr>
        <w:t>Audit Trail</w:t>
      </w:r>
      <w:r>
        <w:rPr>
          <w:rFonts w:ascii="Teva Sans Light" w:eastAsia="Teva Sans Light" w:hAnsi="Teva Sans Light" w:cs="Arial"/>
          <w:sz w:val="24"/>
          <w:szCs w:val="24"/>
          <w:lang w:val="it-IT"/>
        </w:rPr>
        <w:t xml:space="preserve"> (Meccanismo di co</w:t>
      </w:r>
      <w:r>
        <w:rPr>
          <w:rFonts w:ascii="Teva Sans Light" w:eastAsia="Teva Sans Light" w:hAnsi="Teva Sans Light" w:cs="Arial"/>
          <w:sz w:val="24"/>
          <w:szCs w:val="24"/>
          <w:lang w:val="it-IT"/>
        </w:rPr>
        <w:t>ntrollo) per accedere a tali informazioni.</w:t>
      </w:r>
    </w:p>
    <w:p w:rsidR="003C1966" w:rsidRDefault="003C1966">
      <w:pPr>
        <w:rPr>
          <w:rFonts w:ascii="Teva Sans Light" w:hAnsi="Teva Sans Light"/>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sz w:val="24"/>
          <w:szCs w:val="24"/>
          <w:lang w:val="it-IT"/>
        </w:rPr>
      </w:pPr>
      <w:r>
        <w:rPr>
          <w:rFonts w:ascii="Teva Sans Light" w:eastAsia="Teva Sans Light" w:hAnsi="Teva Sans Light" w:cs="Arial"/>
          <w:b/>
          <w:bCs/>
          <w:sz w:val="24"/>
          <w:szCs w:val="24"/>
          <w:lang w:val="it-IT"/>
        </w:rPr>
        <w:t xml:space="preserve">Revisore “qualsiasi” </w:t>
      </w:r>
      <w:r>
        <w:rPr>
          <w:rFonts w:ascii="Teva Sans Light" w:eastAsia="Teva Sans Light" w:hAnsi="Teva Sans Light" w:cs="Arial"/>
          <w:sz w:val="24"/>
          <w:szCs w:val="24"/>
          <w:lang w:val="it-IT"/>
        </w:rPr>
        <w:t xml:space="preserve">- Alcuni gruppi nella valutazione di livello 2 hanno la funzione di revisore “qualsiasi”. Ciò significa che alla valutazione di un’attività sono assegnate varie persone, ma che ne basta solo </w:t>
      </w:r>
      <w:r>
        <w:rPr>
          <w:rFonts w:ascii="Teva Sans Light" w:eastAsia="Teva Sans Light" w:hAnsi="Teva Sans Light" w:cs="Arial"/>
          <w:b/>
          <w:bCs/>
          <w:sz w:val="24"/>
          <w:szCs w:val="24"/>
          <w:u w:val="single"/>
          <w:lang w:val="it-IT"/>
        </w:rPr>
        <w:t>una</w:t>
      </w:r>
      <w:r>
        <w:rPr>
          <w:rFonts w:ascii="Teva Sans Light" w:eastAsia="Teva Sans Light" w:hAnsi="Teva Sans Light" w:cs="Arial"/>
          <w:b/>
          <w:bCs/>
          <w:sz w:val="24"/>
          <w:szCs w:val="24"/>
          <w:lang w:val="it-IT"/>
        </w:rPr>
        <w:t xml:space="preserve"> </w:t>
      </w:r>
      <w:r>
        <w:rPr>
          <w:rFonts w:ascii="Teva Sans Light" w:eastAsia="Teva Sans Light" w:hAnsi="Teva Sans Light" w:cs="Arial"/>
          <w:sz w:val="24"/>
          <w:szCs w:val="24"/>
          <w:lang w:val="it-IT"/>
        </w:rPr>
        <w:t xml:space="preserve">per prendere una decisione. Se per un Revisore vedi lo stesso </w:t>
      </w:r>
      <w:r>
        <w:rPr>
          <w:rFonts w:ascii="Teva Sans Light" w:eastAsia="Teva Sans Light" w:hAnsi="Teva Sans Light" w:cs="Arial"/>
          <w:b/>
          <w:bCs/>
          <w:sz w:val="24"/>
          <w:szCs w:val="24"/>
          <w:u w:val="single"/>
          <w:lang w:val="it-IT"/>
        </w:rPr>
        <w:t>sotto-ruolo</w:t>
      </w:r>
      <w:r>
        <w:rPr>
          <w:rFonts w:ascii="Teva Sans Light" w:eastAsia="Teva Sans Light" w:hAnsi="Teva Sans Light" w:cs="Arial"/>
          <w:sz w:val="24"/>
          <w:szCs w:val="24"/>
          <w:lang w:val="it-IT"/>
        </w:rPr>
        <w:t xml:space="preserve"> indicato nella scheda Audit Trail (Meccanismo di controllo) o nella scheda Revisore, significa che la decisione deve essere presa da una sola persona. Le altre decisioni vengono ignorate dal sistema dopo che la prima è stata presa.</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
          <w:bCs/>
          <w:sz w:val="24"/>
          <w:szCs w:val="24"/>
          <w:lang w:val="it-IT"/>
        </w:rPr>
        <w:t>Caricare documenti</w:t>
      </w:r>
      <w:r>
        <w:rPr>
          <w:rFonts w:ascii="Teva Sans Light" w:eastAsia="Teva Sans Light" w:hAnsi="Teva Sans Light" w:cs="Arial"/>
          <w:sz w:val="24"/>
          <w:szCs w:val="24"/>
          <w:lang w:val="it-IT"/>
        </w:rPr>
        <w:t xml:space="preserve"> in </w:t>
      </w:r>
      <w:r>
        <w:rPr>
          <w:rFonts w:ascii="Teva Sans Light" w:eastAsia="Teva Sans Light" w:hAnsi="Teva Sans Light" w:cs="Arial"/>
          <w:sz w:val="24"/>
          <w:szCs w:val="24"/>
          <w:lang w:val="it-IT"/>
        </w:rPr>
        <w:t xml:space="preserve">EngageMate - Il sistema stabilisce se l’attività includa documentazione caricata in base al nome del pulsante di azione. Ad esempio: </w:t>
      </w:r>
    </w:p>
    <w:tbl>
      <w:tblPr>
        <w:tblStyle w:val="TableGrid"/>
        <w:tblW w:w="0" w:type="auto"/>
        <w:tblInd w:w="715" w:type="dxa"/>
        <w:tblLook w:val="04A0" w:firstRow="1" w:lastRow="0" w:firstColumn="1" w:lastColumn="0" w:noHBand="0" w:noVBand="1"/>
      </w:tblPr>
      <w:tblGrid>
        <w:gridCol w:w="4536"/>
        <w:gridCol w:w="4823"/>
      </w:tblGrid>
      <w:tr w:rsidR="003C1966">
        <w:trPr>
          <w:trHeight w:val="873"/>
        </w:trPr>
        <w:tc>
          <w:tcPr>
            <w:tcW w:w="4476" w:type="dxa"/>
          </w:tcPr>
          <w:p w:rsidR="003C1966" w:rsidRDefault="00622A36">
            <w:pPr>
              <w:spacing w:after="20"/>
              <w:rPr>
                <w:rFonts w:ascii="Teva Sans Light" w:hAnsi="Teva Sans Light"/>
                <w:bCs/>
                <w:sz w:val="24"/>
                <w:szCs w:val="24"/>
              </w:rPr>
            </w:pPr>
            <w:r>
              <w:rPr>
                <w:noProof/>
              </w:rPr>
              <w:drawing>
                <wp:inline distT="0" distB="0" distL="0" distR="0">
                  <wp:extent cx="2682875" cy="577850"/>
                  <wp:effectExtent l="0" t="0" r="3175" b="0"/>
                  <wp:docPr id="3" name="Picture 3" descr="cid:image001.png@01D8F9B8.210D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id:image001.png@01D8F9B8.210D5450"/>
                          <pic:cNvPicPr>
                            <a:picLocks noChangeAspect="1" noChangeArrowheads="1"/>
                          </pic:cNvPicPr>
                        </pic:nvPicPr>
                        <pic:blipFill>
                          <a:blip r:embed="rId9" r:link="rId10">
                            <a:extLst>
                              <a:ext uri="{28A0092B-C50C-407E-A947-70E740481C1C}">
                                <a14:useLocalDpi xmlns:a14="http://schemas.microsoft.com/office/drawing/2010/main" val="0"/>
                              </a:ext>
                            </a:extLst>
                          </a:blip>
                          <a:stretch>
                            <a:fillRect/>
                          </a:stretch>
                        </pic:blipFill>
                        <pic:spPr bwMode="auto">
                          <a:xfrm>
                            <a:off x="0" y="0"/>
                            <a:ext cx="2682875" cy="577850"/>
                          </a:xfrm>
                          <a:prstGeom prst="rect">
                            <a:avLst/>
                          </a:prstGeom>
                          <a:noFill/>
                          <a:ln>
                            <a:noFill/>
                          </a:ln>
                        </pic:spPr>
                      </pic:pic>
                    </a:graphicData>
                  </a:graphic>
                </wp:inline>
              </w:drawing>
            </w:r>
          </w:p>
        </w:tc>
        <w:tc>
          <w:tcPr>
            <w:tcW w:w="4823" w:type="dxa"/>
          </w:tcPr>
          <w:p w:rsidR="003C1966" w:rsidRDefault="00622A36">
            <w:pPr>
              <w:spacing w:after="20"/>
              <w:rPr>
                <w:rFonts w:ascii="Teva Sans Light" w:hAnsi="Teva Sans Light"/>
                <w:bCs/>
                <w:sz w:val="24"/>
                <w:szCs w:val="24"/>
                <w:lang w:val="it-IT"/>
              </w:rPr>
            </w:pPr>
            <w:r>
              <w:rPr>
                <w:rFonts w:ascii="Teva Sans Light" w:eastAsia="Teva Sans Light" w:hAnsi="Teva Sans Light" w:cs="Arial"/>
                <w:bCs/>
                <w:sz w:val="24"/>
                <w:szCs w:val="24"/>
                <w:lang w:val="it-IT"/>
              </w:rPr>
              <w:t>“</w:t>
            </w:r>
            <w:r>
              <w:rPr>
                <w:rFonts w:ascii="Teva Sans Light" w:eastAsia="Teva Sans Light" w:hAnsi="Teva Sans Light" w:cs="Arial"/>
                <w:bCs/>
                <w:i/>
                <w:iCs/>
                <w:sz w:val="24"/>
                <w:szCs w:val="24"/>
                <w:u w:val="single"/>
                <w:lang w:val="it-IT"/>
              </w:rPr>
              <w:t>Visualizza/Modifica caricamenti</w:t>
            </w:r>
            <w:r>
              <w:rPr>
                <w:rFonts w:ascii="Teva Sans Light" w:eastAsia="Teva Sans Light" w:hAnsi="Teva Sans Light" w:cs="Arial"/>
                <w:bCs/>
                <w:sz w:val="24"/>
                <w:szCs w:val="24"/>
                <w:lang w:val="it-IT"/>
              </w:rPr>
              <w:t>” (</w:t>
            </w:r>
            <w:r>
              <w:rPr>
                <w:rFonts w:ascii="Teva Sans Light" w:eastAsia="Teva Sans Light" w:hAnsi="Teva Sans Light" w:cs="Arial"/>
                <w:bCs/>
                <w:i/>
                <w:iCs/>
                <w:sz w:val="24"/>
                <w:szCs w:val="24"/>
                <w:u w:val="single"/>
                <w:lang w:val="it-IT"/>
              </w:rPr>
              <w:t>View/Edit uploads</w:t>
            </w:r>
            <w:r>
              <w:rPr>
                <w:rFonts w:ascii="Teva Sans Light" w:eastAsia="Teva Sans Light" w:hAnsi="Teva Sans Light" w:cs="Arial"/>
                <w:bCs/>
                <w:sz w:val="24"/>
                <w:szCs w:val="24"/>
                <w:lang w:val="it-IT"/>
              </w:rPr>
              <w:t>) indica che CI SONO documenti caricati. Fai clic su tale pulsante p</w:t>
            </w:r>
            <w:r>
              <w:rPr>
                <w:rFonts w:ascii="Teva Sans Light" w:eastAsia="Teva Sans Light" w:hAnsi="Teva Sans Light" w:cs="Arial"/>
                <w:bCs/>
                <w:sz w:val="24"/>
                <w:szCs w:val="24"/>
                <w:lang w:val="it-IT"/>
              </w:rPr>
              <w:t>er visualizzare o modificare ciò che è stato caricato.</w:t>
            </w:r>
          </w:p>
        </w:tc>
      </w:tr>
      <w:tr w:rsidR="003C1966">
        <w:trPr>
          <w:trHeight w:val="949"/>
        </w:trPr>
        <w:tc>
          <w:tcPr>
            <w:tcW w:w="4476" w:type="dxa"/>
            <w:vAlign w:val="center"/>
          </w:tcPr>
          <w:p w:rsidR="003C1966" w:rsidRDefault="00622A36">
            <w:pPr>
              <w:spacing w:after="20"/>
              <w:rPr>
                <w:rFonts w:ascii="Teva Sans Light" w:hAnsi="Teva Sans Light"/>
                <w:bCs/>
                <w:sz w:val="24"/>
                <w:szCs w:val="24"/>
              </w:rPr>
            </w:pPr>
            <w:r>
              <w:rPr>
                <w:noProof/>
              </w:rPr>
              <w:drawing>
                <wp:inline distT="0" distB="0" distL="0" distR="0">
                  <wp:extent cx="273367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stretch>
                            <a:fillRect/>
                          </a:stretch>
                        </pic:blipFill>
                        <pic:spPr>
                          <a:xfrm>
                            <a:off x="0" y="0"/>
                            <a:ext cx="2733675" cy="628650"/>
                          </a:xfrm>
                          <a:prstGeom prst="rect">
                            <a:avLst/>
                          </a:prstGeom>
                        </pic:spPr>
                      </pic:pic>
                    </a:graphicData>
                  </a:graphic>
                </wp:inline>
              </w:drawing>
            </w:r>
          </w:p>
        </w:tc>
        <w:tc>
          <w:tcPr>
            <w:tcW w:w="4823" w:type="dxa"/>
          </w:tcPr>
          <w:p w:rsidR="003C1966" w:rsidRDefault="00622A36">
            <w:pPr>
              <w:spacing w:after="20"/>
              <w:rPr>
                <w:rFonts w:ascii="Teva Sans Light" w:hAnsi="Teva Sans Light"/>
                <w:bCs/>
                <w:sz w:val="24"/>
                <w:szCs w:val="24"/>
              </w:rPr>
            </w:pPr>
            <w:r>
              <w:rPr>
                <w:rFonts w:ascii="Teva Sans Light" w:eastAsia="Teva Sans Light" w:hAnsi="Teva Sans Light" w:cs="Arial"/>
                <w:bCs/>
                <w:sz w:val="24"/>
                <w:szCs w:val="24"/>
                <w:lang w:val="it-IT"/>
              </w:rPr>
              <w:t>“</w:t>
            </w:r>
            <w:r>
              <w:rPr>
                <w:rFonts w:ascii="Teva Sans Light" w:eastAsia="Teva Sans Light" w:hAnsi="Teva Sans Light" w:cs="Arial"/>
                <w:bCs/>
                <w:i/>
                <w:iCs/>
                <w:sz w:val="24"/>
                <w:szCs w:val="24"/>
                <w:u w:val="single"/>
                <w:lang w:val="it-IT"/>
              </w:rPr>
              <w:t>Inizia a caricare</w:t>
            </w:r>
            <w:r>
              <w:rPr>
                <w:rFonts w:ascii="Teva Sans Light" w:eastAsia="Teva Sans Light" w:hAnsi="Teva Sans Light" w:cs="Arial"/>
                <w:bCs/>
                <w:sz w:val="24"/>
                <w:szCs w:val="24"/>
                <w:lang w:val="it-IT"/>
              </w:rPr>
              <w:t>” (</w:t>
            </w:r>
            <w:r>
              <w:rPr>
                <w:rFonts w:ascii="Teva Sans Light" w:eastAsia="Teva Sans Light" w:hAnsi="Teva Sans Light" w:cs="Arial"/>
                <w:bCs/>
                <w:i/>
                <w:iCs/>
                <w:sz w:val="24"/>
                <w:szCs w:val="24"/>
                <w:u w:val="single"/>
                <w:lang w:val="it-IT"/>
              </w:rPr>
              <w:t>Start uploading</w:t>
            </w:r>
            <w:r>
              <w:rPr>
                <w:rFonts w:ascii="Teva Sans Light" w:eastAsia="Teva Sans Light" w:hAnsi="Teva Sans Light" w:cs="Arial"/>
                <w:bCs/>
                <w:sz w:val="24"/>
                <w:szCs w:val="24"/>
                <w:lang w:val="it-IT"/>
              </w:rPr>
              <w:t>) indica che in questa sezione NON CI SONO documenti caricati. Fai clic su questo pulsante per caricare i documenti.</w:t>
            </w:r>
          </w:p>
        </w:tc>
      </w:tr>
    </w:tbl>
    <w:p w:rsidR="003C1966" w:rsidRDefault="003C1966">
      <w:pPr>
        <w:spacing w:after="20" w:line="240" w:lineRule="auto"/>
        <w:ind w:left="180"/>
        <w:rPr>
          <w:rFonts w:ascii="Teva Sans Light" w:hAnsi="Teva Sans Light" w:cstheme="minorHAnsi"/>
          <w:sz w:val="4"/>
          <w:szCs w:val="4"/>
        </w:rPr>
      </w:pPr>
    </w:p>
    <w:p w:rsidR="003C1966" w:rsidRDefault="00622A36">
      <w:pPr>
        <w:pStyle w:val="ListParagraph"/>
        <w:numPr>
          <w:ilvl w:val="0"/>
          <w:numId w:val="7"/>
        </w:numPr>
        <w:spacing w:after="20" w:line="240" w:lineRule="auto"/>
        <w:contextualSpacing w:val="0"/>
        <w:rPr>
          <w:rFonts w:ascii="Teva Sans Light" w:hAnsi="Teva Sans Light" w:cstheme="minorHAnsi"/>
          <w:sz w:val="24"/>
          <w:szCs w:val="24"/>
          <w:lang w:val="it-IT"/>
        </w:rPr>
      </w:pPr>
      <w:r>
        <w:rPr>
          <w:rFonts w:ascii="Teva Sans Light" w:eastAsia="Teva Sans Light" w:hAnsi="Teva Sans Light" w:cs="Arial"/>
          <w:b/>
          <w:bCs/>
          <w:sz w:val="24"/>
          <w:szCs w:val="24"/>
          <w:lang w:val="it-IT"/>
        </w:rPr>
        <w:t>Annullare un’attività</w:t>
      </w:r>
      <w:r>
        <w:rPr>
          <w:rFonts w:ascii="Teva Sans Light" w:eastAsia="Teva Sans Light" w:hAnsi="Teva Sans Light" w:cs="Arial"/>
          <w:sz w:val="24"/>
          <w:szCs w:val="24"/>
          <w:lang w:val="it-IT"/>
        </w:rPr>
        <w:t xml:space="preserve"> - Il richiedente può </w:t>
      </w:r>
      <w:r>
        <w:rPr>
          <w:rFonts w:ascii="Teva Sans Light" w:eastAsia="Teva Sans Light" w:hAnsi="Teva Sans Light" w:cs="Arial"/>
          <w:b/>
          <w:bCs/>
          <w:sz w:val="24"/>
          <w:szCs w:val="24"/>
          <w:u w:val="single"/>
          <w:lang w:val="it-IT"/>
        </w:rPr>
        <w:t>annullare</w:t>
      </w:r>
      <w:r>
        <w:rPr>
          <w:rFonts w:ascii="Teva Sans Light" w:eastAsia="Teva Sans Light" w:hAnsi="Teva Sans Light" w:cs="Arial"/>
          <w:sz w:val="24"/>
          <w:szCs w:val="24"/>
          <w:lang w:val="it-IT"/>
        </w:rPr>
        <w:t xml:space="preserve"> un’attività mentre l’attività è in coda (e non è ancora stata assegnata a un Revisore). Per annullare un’attività che è già stata assegnata a un Revisore, il Richiedente deve chiedere al Revisore di “Richiedere ulteriori informazioni”. In questo </w:t>
      </w:r>
      <w:r>
        <w:rPr>
          <w:rFonts w:ascii="Teva Sans Light" w:eastAsia="Teva Sans Light" w:hAnsi="Teva Sans Light" w:cs="Arial"/>
          <w:sz w:val="24"/>
          <w:szCs w:val="24"/>
          <w:lang w:val="it-IT"/>
        </w:rPr>
        <w:t>modo, l’attività verrà restituita al Richiedente, che potrà annullarla nella scheda Step 1 – Activity Details (Fase 1 - Dettagli attività).</w:t>
      </w:r>
    </w:p>
    <w:p w:rsidR="003C1966" w:rsidRDefault="003C1966">
      <w:pPr>
        <w:pStyle w:val="Heading2"/>
        <w:rPr>
          <w:b/>
          <w:sz w:val="6"/>
          <w:szCs w:val="6"/>
          <w:lang w:val="it-IT"/>
        </w:rPr>
      </w:pPr>
    </w:p>
    <w:p w:rsidR="003C1966" w:rsidRDefault="00622A36">
      <w:pPr>
        <w:pStyle w:val="Heading2"/>
        <w:rPr>
          <w:b/>
        </w:rPr>
      </w:pPr>
      <w:bookmarkStart w:id="11" w:name="_Toc121744784"/>
      <w:r>
        <w:rPr>
          <w:rFonts w:ascii="Calibri Light" w:eastAsia="Calibri Light" w:hAnsi="Calibri Light" w:cs="Times New Roman"/>
          <w:b/>
          <w:bCs/>
          <w:color w:val="2E74B5"/>
          <w:lang w:val="it-IT"/>
        </w:rPr>
        <w:t>Requisiti per l’invio</w:t>
      </w:r>
      <w:bookmarkEnd w:id="11"/>
    </w:p>
    <w:p w:rsidR="003C1966" w:rsidRDefault="00622A36">
      <w:pPr>
        <w:pStyle w:val="ListParagraph"/>
        <w:numPr>
          <w:ilvl w:val="0"/>
          <w:numId w:val="5"/>
        </w:numPr>
        <w:spacing w:after="20" w:line="240" w:lineRule="auto"/>
        <w:ind w:left="540"/>
        <w:contextualSpacing w:val="0"/>
        <w:rPr>
          <w:rFonts w:ascii="Teva Sans Light" w:hAnsi="Teva Sans Light" w:cstheme="minorHAnsi"/>
          <w:sz w:val="24"/>
          <w:szCs w:val="24"/>
          <w:lang w:val="it-IT"/>
        </w:rPr>
      </w:pPr>
      <w:r>
        <w:rPr>
          <w:rFonts w:ascii="Teva Sans Light" w:eastAsia="Teva Sans Light" w:hAnsi="Teva Sans Light" w:cs="Calibri"/>
          <w:sz w:val="24"/>
          <w:szCs w:val="24"/>
          <w:lang w:val="it-IT"/>
        </w:rPr>
        <w:t xml:space="preserve">Prima della nomina dei Fornitori di servizi, deve essere approvato il concetto del Comitato </w:t>
      </w:r>
      <w:r>
        <w:rPr>
          <w:rFonts w:ascii="Teva Sans Light" w:eastAsia="Teva Sans Light" w:hAnsi="Teva Sans Light" w:cs="Calibri"/>
          <w:sz w:val="24"/>
          <w:szCs w:val="24"/>
          <w:lang w:val="it-IT"/>
        </w:rPr>
        <w:t>consultivo.</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5"/>
        </w:numPr>
        <w:spacing w:after="20" w:line="240" w:lineRule="auto"/>
        <w:ind w:left="540"/>
        <w:contextualSpacing w:val="0"/>
        <w:rPr>
          <w:rFonts w:ascii="Teva Sans Light" w:hAnsi="Teva Sans Light" w:cstheme="minorHAnsi"/>
          <w:sz w:val="24"/>
          <w:szCs w:val="24"/>
          <w:lang w:val="it-IT"/>
        </w:rPr>
      </w:pPr>
      <w:r>
        <w:rPr>
          <w:rFonts w:ascii="Teva Sans Light" w:eastAsia="Teva Sans Light" w:hAnsi="Teva Sans Light" w:cs="Calibri"/>
          <w:sz w:val="24"/>
          <w:szCs w:val="24"/>
          <w:lang w:val="it-IT"/>
        </w:rPr>
        <w:t xml:space="preserve">Quando un’attività ha più Fornitori di servizi e un Fornitore di servizi viene sottoposto a una modifica FMV, tutti gli altri Fornitori di servizi devono attendere che la modifica FMV venga valutata e che venga presa una decisione. </w:t>
      </w:r>
    </w:p>
    <w:p w:rsidR="003C1966" w:rsidRDefault="003C1966">
      <w:pPr>
        <w:spacing w:after="20" w:line="240" w:lineRule="auto"/>
        <w:ind w:left="180"/>
        <w:rPr>
          <w:rFonts w:ascii="Teva Sans Light" w:hAnsi="Teva Sans Light" w:cstheme="minorHAnsi"/>
          <w:sz w:val="24"/>
          <w:szCs w:val="24"/>
          <w:lang w:val="it-IT"/>
        </w:rPr>
      </w:pPr>
    </w:p>
    <w:p w:rsidR="003C1966" w:rsidRDefault="00622A36">
      <w:pPr>
        <w:pStyle w:val="ListParagraph"/>
        <w:numPr>
          <w:ilvl w:val="0"/>
          <w:numId w:val="5"/>
        </w:numPr>
        <w:spacing w:after="20" w:line="240" w:lineRule="auto"/>
        <w:ind w:left="540"/>
        <w:contextualSpacing w:val="0"/>
        <w:rPr>
          <w:rFonts w:ascii="Teva Sans Light" w:hAnsi="Teva Sans Light" w:cstheme="minorHAnsi"/>
          <w:sz w:val="24"/>
          <w:szCs w:val="24"/>
          <w:lang w:val="it-IT"/>
        </w:rPr>
      </w:pPr>
      <w:r>
        <w:rPr>
          <w:rFonts w:ascii="Teva Sans Light" w:eastAsia="Teva Sans Light" w:hAnsi="Teva Sans Light" w:cs="Calibri"/>
          <w:sz w:val="24"/>
          <w:szCs w:val="24"/>
          <w:lang w:val="it-IT"/>
        </w:rPr>
        <w:lastRenderedPageBreak/>
        <w:t>I revisor</w:t>
      </w:r>
      <w:r>
        <w:rPr>
          <w:rFonts w:ascii="Teva Sans Light" w:eastAsia="Teva Sans Light" w:hAnsi="Teva Sans Light" w:cs="Calibri"/>
          <w:sz w:val="24"/>
          <w:szCs w:val="24"/>
          <w:lang w:val="it-IT"/>
        </w:rPr>
        <w:t xml:space="preserve">i possono aggiungere commenti quando approvano un’attività; tuttavia, i commenti non sono necessari per l’approvazione. </w:t>
      </w:r>
    </w:p>
    <w:p w:rsidR="003C1966" w:rsidRDefault="00622A36">
      <w:pPr>
        <w:rPr>
          <w:rFonts w:ascii="Teva Sans Light" w:hAnsi="Teva Sans Light" w:cstheme="minorHAnsi"/>
          <w:b/>
          <w:sz w:val="24"/>
          <w:szCs w:val="24"/>
          <w:u w:val="single"/>
          <w:lang w:val="it-IT"/>
        </w:rPr>
      </w:pPr>
      <w:r>
        <w:rPr>
          <w:rFonts w:ascii="Teva Sans Light" w:hAnsi="Teva Sans Light" w:cstheme="minorHAnsi"/>
          <w:b/>
          <w:sz w:val="24"/>
          <w:szCs w:val="24"/>
          <w:u w:val="single"/>
          <w:lang w:val="it-IT"/>
        </w:rPr>
        <w:br w:type="page"/>
      </w:r>
    </w:p>
    <w:p w:rsidR="003C1966" w:rsidRDefault="00622A36">
      <w:pPr>
        <w:pStyle w:val="Heading2"/>
        <w:rPr>
          <w:b/>
        </w:rPr>
      </w:pPr>
      <w:bookmarkStart w:id="12" w:name="_Toc121744785"/>
      <w:r>
        <w:rPr>
          <w:rFonts w:ascii="Calibri Light" w:eastAsia="Calibri Light" w:hAnsi="Calibri Light" w:cs="Times New Roman"/>
          <w:b/>
          <w:bCs/>
          <w:color w:val="2E74B5"/>
          <w:lang w:val="it-IT"/>
        </w:rPr>
        <w:t>Controlli di sistema</w:t>
      </w:r>
      <w:bookmarkEnd w:id="12"/>
    </w:p>
    <w:p w:rsidR="003C1966" w:rsidRDefault="00622A36">
      <w:pPr>
        <w:pStyle w:val="ListParagraph"/>
        <w:numPr>
          <w:ilvl w:val="0"/>
          <w:numId w:val="10"/>
        </w:numPr>
        <w:spacing w:after="20" w:line="240" w:lineRule="auto"/>
        <w:rPr>
          <w:rFonts w:ascii="Teva Sans Light" w:hAnsi="Teva Sans Light" w:cstheme="minorHAnsi"/>
          <w:sz w:val="24"/>
          <w:szCs w:val="24"/>
        </w:rPr>
      </w:pPr>
      <w:r>
        <w:rPr>
          <w:rFonts w:ascii="Teva Sans Light" w:eastAsia="Teva Sans Light" w:hAnsi="Teva Sans Light" w:cs="Calibri"/>
          <w:sz w:val="24"/>
          <w:szCs w:val="24"/>
          <w:lang w:val="it-IT"/>
        </w:rPr>
        <w:t>Quando inserisci un importo, non usare separatori numerici. Ad esempio:</w:t>
      </w:r>
    </w:p>
    <w:p w:rsidR="003C1966" w:rsidRDefault="00622A36">
      <w:pPr>
        <w:pStyle w:val="ListParagraph"/>
        <w:numPr>
          <w:ilvl w:val="1"/>
          <w:numId w:val="3"/>
        </w:numPr>
        <w:tabs>
          <w:tab w:val="left" w:pos="540"/>
        </w:tabs>
        <w:spacing w:before="240" w:after="20" w:line="240" w:lineRule="auto"/>
        <w:rPr>
          <w:rFonts w:ascii="Teva Sans Light" w:hAnsi="Teva Sans Light" w:cstheme="minorHAnsi"/>
          <w:sz w:val="24"/>
          <w:szCs w:val="24"/>
          <w:u w:val="single"/>
        </w:rPr>
      </w:pPr>
      <w:r>
        <w:rPr>
          <w:rFonts w:ascii="Teva Sans Light" w:eastAsia="Teva Sans Light" w:hAnsi="Teva Sans Light" w:cs="Calibri"/>
          <w:sz w:val="24"/>
          <w:szCs w:val="24"/>
          <w:lang w:val="it-IT"/>
        </w:rPr>
        <w:t>Non scrivere 100.500,99</w:t>
      </w:r>
    </w:p>
    <w:p w:rsidR="003C1966" w:rsidRDefault="00622A36">
      <w:pPr>
        <w:pStyle w:val="ListParagraph"/>
        <w:numPr>
          <w:ilvl w:val="1"/>
          <w:numId w:val="3"/>
        </w:numPr>
        <w:tabs>
          <w:tab w:val="left" w:pos="540"/>
        </w:tabs>
        <w:spacing w:before="240" w:after="20" w:line="240" w:lineRule="auto"/>
      </w:pPr>
      <w:r>
        <w:rPr>
          <w:rFonts w:ascii="Teva Sans Light" w:eastAsia="Teva Sans Light" w:hAnsi="Teva Sans Light" w:cs="Calibri"/>
          <w:sz w:val="24"/>
          <w:szCs w:val="24"/>
          <w:lang w:val="it-IT"/>
        </w:rPr>
        <w:t>Scrivi 100500,99</w:t>
      </w:r>
    </w:p>
    <w:p w:rsidR="003C1966" w:rsidRDefault="00622A36">
      <w:pPr>
        <w:pStyle w:val="ListParagraph"/>
        <w:numPr>
          <w:ilvl w:val="0"/>
          <w:numId w:val="10"/>
        </w:numPr>
        <w:spacing w:before="240" w:after="20" w:line="240" w:lineRule="auto"/>
        <w:rPr>
          <w:lang w:val="it-IT"/>
        </w:rPr>
      </w:pPr>
      <w:r>
        <w:rPr>
          <w:rFonts w:ascii="Teva Sans Light" w:eastAsia="Teva Sans Light" w:hAnsi="Teva Sans Light" w:cs="Calibri"/>
          <w:sz w:val="24"/>
          <w:szCs w:val="24"/>
          <w:lang w:val="it-IT"/>
        </w:rPr>
        <w:t xml:space="preserve">Alcuni </w:t>
      </w:r>
      <w:r>
        <w:rPr>
          <w:rFonts w:ascii="Calibri" w:eastAsia="Calibri" w:hAnsi="Calibri" w:cs="Calibri"/>
          <w:sz w:val="24"/>
          <w:szCs w:val="24"/>
          <w:lang w:val="it-IT"/>
        </w:rPr>
        <w:t xml:space="preserve">Paesi </w:t>
      </w:r>
      <w:r>
        <w:rPr>
          <w:rFonts w:ascii="Teva Sans Light" w:eastAsia="Teva Sans Light" w:hAnsi="Teva Sans Light" w:cs="Calibri"/>
          <w:sz w:val="24"/>
          <w:szCs w:val="24"/>
          <w:lang w:val="it-IT"/>
        </w:rPr>
        <w:t xml:space="preserve">richiedono di inserire il prodotto o la sede durante la chiusura. Poiché non si tratta di un requisito globale e non tutti i Paesi richiedono di specificare il prodotto o la sede, questi campi non saranno indicati come obbligatori nel </w:t>
      </w:r>
      <w:r>
        <w:rPr>
          <w:rFonts w:ascii="Teva Sans Light" w:eastAsia="Teva Sans Light" w:hAnsi="Teva Sans Light" w:cs="Calibri"/>
          <w:sz w:val="24"/>
          <w:szCs w:val="24"/>
          <w:lang w:val="it-IT"/>
        </w:rPr>
        <w:t>template Excel per poter completare il caricamento.</w:t>
      </w:r>
    </w:p>
    <w:p w:rsidR="003C1966" w:rsidRDefault="003C1966">
      <w:pPr>
        <w:pStyle w:val="ListParagraph"/>
        <w:spacing w:after="20" w:line="240" w:lineRule="auto"/>
        <w:contextualSpacing w:val="0"/>
        <w:jc w:val="center"/>
        <w:rPr>
          <w:rFonts w:ascii="Teva Sans Light" w:hAnsi="Teva Sans Light"/>
          <w:b/>
          <w:color w:val="FF0000"/>
          <w:sz w:val="32"/>
          <w:szCs w:val="24"/>
          <w:lang w:val="it-IT"/>
        </w:rPr>
      </w:pPr>
    </w:p>
    <w:sectPr w:rsidR="003C1966">
      <w:headerReference w:type="default" r:id="rId12"/>
      <w:footerReference w:type="default" r:id="rId13"/>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966" w:rsidRDefault="00622A36">
      <w:pPr>
        <w:spacing w:after="0" w:line="240" w:lineRule="auto"/>
      </w:pPr>
      <w:r>
        <w:separator/>
      </w:r>
    </w:p>
  </w:endnote>
  <w:endnote w:type="continuationSeparator" w:id="0">
    <w:p w:rsidR="003C1966" w:rsidRDefault="0062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eva Sans Light">
    <w:panose1 w:val="020B0604030202020203"/>
    <w:charset w:val="00"/>
    <w:family w:val="swiss"/>
    <w:notTrueType/>
    <w:pitch w:val="variable"/>
    <w:sig w:usb0="A000006F" w:usb1="4000207A" w:usb2="00000000" w:usb3="00000000" w:csb0="00000093" w:csb1="00000000"/>
  </w:font>
  <w:font w:name="DengXian">
    <w:altName w:val="等线"/>
    <w:panose1 w:val="02010600030101010101"/>
    <w:charset w:val="86"/>
    <w:family w:val="roman"/>
    <w:notTrueType/>
    <w:pitch w:val="default"/>
  </w:font>
  <w:font w:name="Teva Sans">
    <w:altName w:val="Arial"/>
    <w:panose1 w:val="020B0604030202020203"/>
    <w:charset w:val="00"/>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66" w:rsidRDefault="00622A36">
    <w:pPr>
      <w:pStyle w:val="Footer"/>
      <w:rPr>
        <w:lang w:val="it-IT"/>
      </w:rPr>
    </w:pPr>
    <w:r>
      <w:rPr>
        <w:rFonts w:ascii="Calibri" w:eastAsia="Calibri" w:hAnsi="Calibri" w:cs="Arial"/>
        <w:lang w:val="it-IT"/>
      </w:rPr>
      <w:t>Data di creazione: novembre 2022</w:t>
    </w:r>
    <w:r>
      <w:rPr>
        <w:rFonts w:ascii="Calibri" w:eastAsia="Calibri" w:hAnsi="Calibri" w:cs="Arial"/>
        <w:lang w:val="it-IT"/>
      </w:rPr>
      <w:tab/>
      <w:t>Ufficio Programma GCE</w:t>
    </w:r>
    <w:r>
      <w:rPr>
        <w:rFonts w:ascii="Calibri" w:eastAsia="Calibri" w:hAnsi="Calibri" w:cs="Arial"/>
        <w:lang w:val="it-IT"/>
      </w:rPr>
      <w:tab/>
      <w:t>Versione: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966" w:rsidRDefault="00622A36">
      <w:pPr>
        <w:spacing w:after="0" w:line="240" w:lineRule="auto"/>
      </w:pPr>
      <w:r>
        <w:separator/>
      </w:r>
    </w:p>
  </w:footnote>
  <w:footnote w:type="continuationSeparator" w:id="0">
    <w:p w:rsidR="003C1966" w:rsidRDefault="0062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966" w:rsidRDefault="00622A36">
    <w:pPr>
      <w:pStyle w:val="Header"/>
    </w:pPr>
    <w:r>
      <w:rPr>
        <w:rFonts w:cstheme="minorHAnsi"/>
        <w:noProof/>
      </w:rPr>
      <w:drawing>
        <wp:inline distT="0" distB="0" distL="0" distR="0">
          <wp:extent cx="6478007" cy="699715"/>
          <wp:effectExtent l="0" t="0" r="0" b="571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rcRect t="17557" b="12184"/>
                  <a:stretch>
                    <a:fillRect/>
                  </a:stretch>
                </pic:blipFill>
                <pic:spPr bwMode="auto">
                  <a:xfrm>
                    <a:off x="0" y="0"/>
                    <a:ext cx="6483096" cy="7002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E69"/>
    <w:multiLevelType w:val="hybridMultilevel"/>
    <w:tmpl w:val="B61E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76F60"/>
    <w:multiLevelType w:val="hybridMultilevel"/>
    <w:tmpl w:val="F2265D58"/>
    <w:lvl w:ilvl="0" w:tplc="4C523850">
      <w:start w:val="1"/>
      <w:numFmt w:val="decimal"/>
      <w:lvlText w:val="%1."/>
      <w:lvlJc w:val="left"/>
      <w:pPr>
        <w:ind w:left="720" w:hanging="360"/>
      </w:pPr>
      <w:rPr>
        <w:rFonts w:hint="default"/>
      </w:rPr>
    </w:lvl>
    <w:lvl w:ilvl="1" w:tplc="AB7C3DC0">
      <w:start w:val="1"/>
      <w:numFmt w:val="lowerLetter"/>
      <w:lvlText w:val="%2."/>
      <w:lvlJc w:val="left"/>
      <w:pPr>
        <w:ind w:left="1440" w:hanging="360"/>
      </w:pPr>
    </w:lvl>
    <w:lvl w:ilvl="2" w:tplc="616CC8A4" w:tentative="1">
      <w:start w:val="1"/>
      <w:numFmt w:val="lowerRoman"/>
      <w:lvlText w:val="%3."/>
      <w:lvlJc w:val="right"/>
      <w:pPr>
        <w:ind w:left="2160" w:hanging="180"/>
      </w:pPr>
    </w:lvl>
    <w:lvl w:ilvl="3" w:tplc="D9F66234" w:tentative="1">
      <w:start w:val="1"/>
      <w:numFmt w:val="decimal"/>
      <w:lvlText w:val="%4."/>
      <w:lvlJc w:val="left"/>
      <w:pPr>
        <w:ind w:left="2880" w:hanging="360"/>
      </w:pPr>
    </w:lvl>
    <w:lvl w:ilvl="4" w:tplc="FDDC8E56" w:tentative="1">
      <w:start w:val="1"/>
      <w:numFmt w:val="lowerLetter"/>
      <w:lvlText w:val="%5."/>
      <w:lvlJc w:val="left"/>
      <w:pPr>
        <w:ind w:left="3600" w:hanging="360"/>
      </w:pPr>
    </w:lvl>
    <w:lvl w:ilvl="5" w:tplc="F8D6E114" w:tentative="1">
      <w:start w:val="1"/>
      <w:numFmt w:val="lowerRoman"/>
      <w:lvlText w:val="%6."/>
      <w:lvlJc w:val="right"/>
      <w:pPr>
        <w:ind w:left="4320" w:hanging="180"/>
      </w:pPr>
    </w:lvl>
    <w:lvl w:ilvl="6" w:tplc="539E3B4E" w:tentative="1">
      <w:start w:val="1"/>
      <w:numFmt w:val="decimal"/>
      <w:lvlText w:val="%7."/>
      <w:lvlJc w:val="left"/>
      <w:pPr>
        <w:ind w:left="5040" w:hanging="360"/>
      </w:pPr>
    </w:lvl>
    <w:lvl w:ilvl="7" w:tplc="94C49E00" w:tentative="1">
      <w:start w:val="1"/>
      <w:numFmt w:val="lowerLetter"/>
      <w:lvlText w:val="%8."/>
      <w:lvlJc w:val="left"/>
      <w:pPr>
        <w:ind w:left="5760" w:hanging="360"/>
      </w:pPr>
    </w:lvl>
    <w:lvl w:ilvl="8" w:tplc="D78233DC" w:tentative="1">
      <w:start w:val="1"/>
      <w:numFmt w:val="lowerRoman"/>
      <w:lvlText w:val="%9."/>
      <w:lvlJc w:val="right"/>
      <w:pPr>
        <w:ind w:left="6480" w:hanging="180"/>
      </w:pPr>
    </w:lvl>
  </w:abstractNum>
  <w:abstractNum w:abstractNumId="2" w15:restartNumberingAfterBreak="0">
    <w:nsid w:val="10123EFB"/>
    <w:multiLevelType w:val="hybridMultilevel"/>
    <w:tmpl w:val="F2265D58"/>
    <w:lvl w:ilvl="0" w:tplc="C3984836">
      <w:start w:val="1"/>
      <w:numFmt w:val="decimal"/>
      <w:lvlText w:val="%1."/>
      <w:lvlJc w:val="left"/>
      <w:pPr>
        <w:ind w:left="720" w:hanging="360"/>
      </w:pPr>
      <w:rPr>
        <w:rFonts w:hint="default"/>
      </w:rPr>
    </w:lvl>
    <w:lvl w:ilvl="1" w:tplc="A31E6310">
      <w:start w:val="1"/>
      <w:numFmt w:val="lowerLetter"/>
      <w:lvlText w:val="%2."/>
      <w:lvlJc w:val="left"/>
      <w:pPr>
        <w:ind w:left="1440" w:hanging="360"/>
      </w:pPr>
    </w:lvl>
    <w:lvl w:ilvl="2" w:tplc="C6BE08C8" w:tentative="1">
      <w:start w:val="1"/>
      <w:numFmt w:val="lowerRoman"/>
      <w:lvlText w:val="%3."/>
      <w:lvlJc w:val="right"/>
      <w:pPr>
        <w:ind w:left="2160" w:hanging="180"/>
      </w:pPr>
    </w:lvl>
    <w:lvl w:ilvl="3" w:tplc="2530213E" w:tentative="1">
      <w:start w:val="1"/>
      <w:numFmt w:val="decimal"/>
      <w:lvlText w:val="%4."/>
      <w:lvlJc w:val="left"/>
      <w:pPr>
        <w:ind w:left="2880" w:hanging="360"/>
      </w:pPr>
    </w:lvl>
    <w:lvl w:ilvl="4" w:tplc="CF3E168A" w:tentative="1">
      <w:start w:val="1"/>
      <w:numFmt w:val="lowerLetter"/>
      <w:lvlText w:val="%5."/>
      <w:lvlJc w:val="left"/>
      <w:pPr>
        <w:ind w:left="3600" w:hanging="360"/>
      </w:pPr>
    </w:lvl>
    <w:lvl w:ilvl="5" w:tplc="1538893E" w:tentative="1">
      <w:start w:val="1"/>
      <w:numFmt w:val="lowerRoman"/>
      <w:lvlText w:val="%6."/>
      <w:lvlJc w:val="right"/>
      <w:pPr>
        <w:ind w:left="4320" w:hanging="180"/>
      </w:pPr>
    </w:lvl>
    <w:lvl w:ilvl="6" w:tplc="BA04E0C2" w:tentative="1">
      <w:start w:val="1"/>
      <w:numFmt w:val="decimal"/>
      <w:lvlText w:val="%7."/>
      <w:lvlJc w:val="left"/>
      <w:pPr>
        <w:ind w:left="5040" w:hanging="360"/>
      </w:pPr>
    </w:lvl>
    <w:lvl w:ilvl="7" w:tplc="FEBAECF8" w:tentative="1">
      <w:start w:val="1"/>
      <w:numFmt w:val="lowerLetter"/>
      <w:lvlText w:val="%8."/>
      <w:lvlJc w:val="left"/>
      <w:pPr>
        <w:ind w:left="5760" w:hanging="360"/>
      </w:pPr>
    </w:lvl>
    <w:lvl w:ilvl="8" w:tplc="A5D6822C" w:tentative="1">
      <w:start w:val="1"/>
      <w:numFmt w:val="lowerRoman"/>
      <w:lvlText w:val="%9."/>
      <w:lvlJc w:val="right"/>
      <w:pPr>
        <w:ind w:left="6480" w:hanging="180"/>
      </w:pPr>
    </w:lvl>
  </w:abstractNum>
  <w:abstractNum w:abstractNumId="3" w15:restartNumberingAfterBreak="0">
    <w:nsid w:val="1C1035C2"/>
    <w:multiLevelType w:val="hybridMultilevel"/>
    <w:tmpl w:val="37AE695A"/>
    <w:lvl w:ilvl="0" w:tplc="39F6FBB0">
      <w:start w:val="1"/>
      <w:numFmt w:val="lowerLetter"/>
      <w:lvlText w:val="%1)"/>
      <w:lvlJc w:val="left"/>
      <w:pPr>
        <w:ind w:left="720" w:hanging="360"/>
      </w:pPr>
      <w:rPr>
        <w:rFonts w:hint="default"/>
        <w:color w:val="auto"/>
        <w:w w:val="101"/>
        <w:sz w:val="22"/>
        <w:szCs w:val="22"/>
      </w:rPr>
    </w:lvl>
    <w:lvl w:ilvl="1" w:tplc="11D0A2A4">
      <w:start w:val="1"/>
      <w:numFmt w:val="lowerLetter"/>
      <w:lvlText w:val="%2."/>
      <w:lvlJc w:val="left"/>
      <w:pPr>
        <w:ind w:left="1440" w:hanging="360"/>
      </w:pPr>
    </w:lvl>
    <w:lvl w:ilvl="2" w:tplc="119E2530" w:tentative="1">
      <w:start w:val="1"/>
      <w:numFmt w:val="lowerRoman"/>
      <w:lvlText w:val="%3."/>
      <w:lvlJc w:val="right"/>
      <w:pPr>
        <w:ind w:left="2160" w:hanging="180"/>
      </w:pPr>
    </w:lvl>
    <w:lvl w:ilvl="3" w:tplc="2A58D518" w:tentative="1">
      <w:start w:val="1"/>
      <w:numFmt w:val="decimal"/>
      <w:lvlText w:val="%4."/>
      <w:lvlJc w:val="left"/>
      <w:pPr>
        <w:ind w:left="2880" w:hanging="360"/>
      </w:pPr>
    </w:lvl>
    <w:lvl w:ilvl="4" w:tplc="A8E01A8E" w:tentative="1">
      <w:start w:val="1"/>
      <w:numFmt w:val="lowerLetter"/>
      <w:lvlText w:val="%5."/>
      <w:lvlJc w:val="left"/>
      <w:pPr>
        <w:ind w:left="3600" w:hanging="360"/>
      </w:pPr>
    </w:lvl>
    <w:lvl w:ilvl="5" w:tplc="02FCBC5E" w:tentative="1">
      <w:start w:val="1"/>
      <w:numFmt w:val="lowerRoman"/>
      <w:lvlText w:val="%6."/>
      <w:lvlJc w:val="right"/>
      <w:pPr>
        <w:ind w:left="4320" w:hanging="180"/>
      </w:pPr>
    </w:lvl>
    <w:lvl w:ilvl="6" w:tplc="11B6B63C" w:tentative="1">
      <w:start w:val="1"/>
      <w:numFmt w:val="decimal"/>
      <w:lvlText w:val="%7."/>
      <w:lvlJc w:val="left"/>
      <w:pPr>
        <w:ind w:left="5040" w:hanging="360"/>
      </w:pPr>
    </w:lvl>
    <w:lvl w:ilvl="7" w:tplc="C06811A6" w:tentative="1">
      <w:start w:val="1"/>
      <w:numFmt w:val="lowerLetter"/>
      <w:lvlText w:val="%8."/>
      <w:lvlJc w:val="left"/>
      <w:pPr>
        <w:ind w:left="5760" w:hanging="360"/>
      </w:pPr>
    </w:lvl>
    <w:lvl w:ilvl="8" w:tplc="75442AE2" w:tentative="1">
      <w:start w:val="1"/>
      <w:numFmt w:val="lowerRoman"/>
      <w:lvlText w:val="%9."/>
      <w:lvlJc w:val="right"/>
      <w:pPr>
        <w:ind w:left="6480" w:hanging="180"/>
      </w:pPr>
    </w:lvl>
  </w:abstractNum>
  <w:abstractNum w:abstractNumId="4" w15:restartNumberingAfterBreak="0">
    <w:nsid w:val="2D514191"/>
    <w:multiLevelType w:val="hybridMultilevel"/>
    <w:tmpl w:val="1DA81C00"/>
    <w:lvl w:ilvl="0" w:tplc="51E411BE">
      <w:start w:val="1"/>
      <w:numFmt w:val="decimal"/>
      <w:lvlText w:val="%1."/>
      <w:lvlJc w:val="left"/>
      <w:pPr>
        <w:ind w:left="720" w:hanging="360"/>
      </w:pPr>
    </w:lvl>
    <w:lvl w:ilvl="1" w:tplc="0F1C2B2A" w:tentative="1">
      <w:start w:val="1"/>
      <w:numFmt w:val="lowerLetter"/>
      <w:lvlText w:val="%2."/>
      <w:lvlJc w:val="left"/>
      <w:pPr>
        <w:ind w:left="1440" w:hanging="360"/>
      </w:pPr>
    </w:lvl>
    <w:lvl w:ilvl="2" w:tplc="613247A8" w:tentative="1">
      <w:start w:val="1"/>
      <w:numFmt w:val="lowerRoman"/>
      <w:lvlText w:val="%3."/>
      <w:lvlJc w:val="right"/>
      <w:pPr>
        <w:ind w:left="2160" w:hanging="180"/>
      </w:pPr>
    </w:lvl>
    <w:lvl w:ilvl="3" w:tplc="8EBC4F5A" w:tentative="1">
      <w:start w:val="1"/>
      <w:numFmt w:val="decimal"/>
      <w:lvlText w:val="%4."/>
      <w:lvlJc w:val="left"/>
      <w:pPr>
        <w:ind w:left="2880" w:hanging="360"/>
      </w:pPr>
    </w:lvl>
    <w:lvl w:ilvl="4" w:tplc="BA280AB2" w:tentative="1">
      <w:start w:val="1"/>
      <w:numFmt w:val="lowerLetter"/>
      <w:lvlText w:val="%5."/>
      <w:lvlJc w:val="left"/>
      <w:pPr>
        <w:ind w:left="3600" w:hanging="360"/>
      </w:pPr>
    </w:lvl>
    <w:lvl w:ilvl="5" w:tplc="CA84CD2E" w:tentative="1">
      <w:start w:val="1"/>
      <w:numFmt w:val="lowerRoman"/>
      <w:lvlText w:val="%6."/>
      <w:lvlJc w:val="right"/>
      <w:pPr>
        <w:ind w:left="4320" w:hanging="180"/>
      </w:pPr>
    </w:lvl>
    <w:lvl w:ilvl="6" w:tplc="FB20AA68" w:tentative="1">
      <w:start w:val="1"/>
      <w:numFmt w:val="decimal"/>
      <w:lvlText w:val="%7."/>
      <w:lvlJc w:val="left"/>
      <w:pPr>
        <w:ind w:left="5040" w:hanging="360"/>
      </w:pPr>
    </w:lvl>
    <w:lvl w:ilvl="7" w:tplc="D5E0914E" w:tentative="1">
      <w:start w:val="1"/>
      <w:numFmt w:val="lowerLetter"/>
      <w:lvlText w:val="%8."/>
      <w:lvlJc w:val="left"/>
      <w:pPr>
        <w:ind w:left="5760" w:hanging="360"/>
      </w:pPr>
    </w:lvl>
    <w:lvl w:ilvl="8" w:tplc="0346F604" w:tentative="1">
      <w:start w:val="1"/>
      <w:numFmt w:val="lowerRoman"/>
      <w:lvlText w:val="%9."/>
      <w:lvlJc w:val="right"/>
      <w:pPr>
        <w:ind w:left="6480" w:hanging="180"/>
      </w:pPr>
    </w:lvl>
  </w:abstractNum>
  <w:abstractNum w:abstractNumId="5" w15:restartNumberingAfterBreak="0">
    <w:nsid w:val="43556145"/>
    <w:multiLevelType w:val="hybridMultilevel"/>
    <w:tmpl w:val="BE1252C6"/>
    <w:lvl w:ilvl="0" w:tplc="7068C53A">
      <w:start w:val="1"/>
      <w:numFmt w:val="bullet"/>
      <w:lvlText w:val=""/>
      <w:lvlJc w:val="left"/>
      <w:pPr>
        <w:ind w:left="1440" w:hanging="360"/>
      </w:pPr>
      <w:rPr>
        <w:rFonts w:ascii="Symbol" w:hAnsi="Symbol" w:hint="default"/>
      </w:rPr>
    </w:lvl>
    <w:lvl w:ilvl="1" w:tplc="C682E8B4" w:tentative="1">
      <w:start w:val="1"/>
      <w:numFmt w:val="bullet"/>
      <w:lvlText w:val="o"/>
      <w:lvlJc w:val="left"/>
      <w:pPr>
        <w:ind w:left="2160" w:hanging="360"/>
      </w:pPr>
      <w:rPr>
        <w:rFonts w:ascii="Courier New" w:hAnsi="Courier New" w:cs="Courier New" w:hint="default"/>
      </w:rPr>
    </w:lvl>
    <w:lvl w:ilvl="2" w:tplc="00367340" w:tentative="1">
      <w:start w:val="1"/>
      <w:numFmt w:val="bullet"/>
      <w:lvlText w:val=""/>
      <w:lvlJc w:val="left"/>
      <w:pPr>
        <w:ind w:left="2880" w:hanging="360"/>
      </w:pPr>
      <w:rPr>
        <w:rFonts w:ascii="Wingdings" w:hAnsi="Wingdings" w:hint="default"/>
      </w:rPr>
    </w:lvl>
    <w:lvl w:ilvl="3" w:tplc="DF3A49D4" w:tentative="1">
      <w:start w:val="1"/>
      <w:numFmt w:val="bullet"/>
      <w:lvlText w:val=""/>
      <w:lvlJc w:val="left"/>
      <w:pPr>
        <w:ind w:left="3600" w:hanging="360"/>
      </w:pPr>
      <w:rPr>
        <w:rFonts w:ascii="Symbol" w:hAnsi="Symbol" w:hint="default"/>
      </w:rPr>
    </w:lvl>
    <w:lvl w:ilvl="4" w:tplc="DC6813F8" w:tentative="1">
      <w:start w:val="1"/>
      <w:numFmt w:val="bullet"/>
      <w:lvlText w:val="o"/>
      <w:lvlJc w:val="left"/>
      <w:pPr>
        <w:ind w:left="4320" w:hanging="360"/>
      </w:pPr>
      <w:rPr>
        <w:rFonts w:ascii="Courier New" w:hAnsi="Courier New" w:cs="Courier New" w:hint="default"/>
      </w:rPr>
    </w:lvl>
    <w:lvl w:ilvl="5" w:tplc="75E2EBF2" w:tentative="1">
      <w:start w:val="1"/>
      <w:numFmt w:val="bullet"/>
      <w:lvlText w:val=""/>
      <w:lvlJc w:val="left"/>
      <w:pPr>
        <w:ind w:left="5040" w:hanging="360"/>
      </w:pPr>
      <w:rPr>
        <w:rFonts w:ascii="Wingdings" w:hAnsi="Wingdings" w:hint="default"/>
      </w:rPr>
    </w:lvl>
    <w:lvl w:ilvl="6" w:tplc="2E70E210" w:tentative="1">
      <w:start w:val="1"/>
      <w:numFmt w:val="bullet"/>
      <w:lvlText w:val=""/>
      <w:lvlJc w:val="left"/>
      <w:pPr>
        <w:ind w:left="5760" w:hanging="360"/>
      </w:pPr>
      <w:rPr>
        <w:rFonts w:ascii="Symbol" w:hAnsi="Symbol" w:hint="default"/>
      </w:rPr>
    </w:lvl>
    <w:lvl w:ilvl="7" w:tplc="1A8E12AC" w:tentative="1">
      <w:start w:val="1"/>
      <w:numFmt w:val="bullet"/>
      <w:lvlText w:val="o"/>
      <w:lvlJc w:val="left"/>
      <w:pPr>
        <w:ind w:left="6480" w:hanging="360"/>
      </w:pPr>
      <w:rPr>
        <w:rFonts w:ascii="Courier New" w:hAnsi="Courier New" w:cs="Courier New" w:hint="default"/>
      </w:rPr>
    </w:lvl>
    <w:lvl w:ilvl="8" w:tplc="A7829EB2" w:tentative="1">
      <w:start w:val="1"/>
      <w:numFmt w:val="bullet"/>
      <w:lvlText w:val=""/>
      <w:lvlJc w:val="left"/>
      <w:pPr>
        <w:ind w:left="7200" w:hanging="360"/>
      </w:pPr>
      <w:rPr>
        <w:rFonts w:ascii="Wingdings" w:hAnsi="Wingdings" w:hint="default"/>
      </w:rPr>
    </w:lvl>
  </w:abstractNum>
  <w:abstractNum w:abstractNumId="6" w15:restartNumberingAfterBreak="0">
    <w:nsid w:val="50B57767"/>
    <w:multiLevelType w:val="hybridMultilevel"/>
    <w:tmpl w:val="1DA81C00"/>
    <w:lvl w:ilvl="0" w:tplc="F1EE01DE">
      <w:start w:val="1"/>
      <w:numFmt w:val="decimal"/>
      <w:lvlText w:val="%1."/>
      <w:lvlJc w:val="left"/>
      <w:pPr>
        <w:ind w:left="720" w:hanging="360"/>
      </w:pPr>
    </w:lvl>
    <w:lvl w:ilvl="1" w:tplc="E1C2911C">
      <w:start w:val="1"/>
      <w:numFmt w:val="lowerLetter"/>
      <w:lvlText w:val="%2."/>
      <w:lvlJc w:val="left"/>
      <w:pPr>
        <w:ind w:left="1440" w:hanging="360"/>
      </w:pPr>
    </w:lvl>
    <w:lvl w:ilvl="2" w:tplc="5FFE08B8" w:tentative="1">
      <w:start w:val="1"/>
      <w:numFmt w:val="lowerRoman"/>
      <w:lvlText w:val="%3."/>
      <w:lvlJc w:val="right"/>
      <w:pPr>
        <w:ind w:left="2160" w:hanging="180"/>
      </w:pPr>
    </w:lvl>
    <w:lvl w:ilvl="3" w:tplc="EBE8CFA0" w:tentative="1">
      <w:start w:val="1"/>
      <w:numFmt w:val="decimal"/>
      <w:lvlText w:val="%4."/>
      <w:lvlJc w:val="left"/>
      <w:pPr>
        <w:ind w:left="2880" w:hanging="360"/>
      </w:pPr>
    </w:lvl>
    <w:lvl w:ilvl="4" w:tplc="DF36B158" w:tentative="1">
      <w:start w:val="1"/>
      <w:numFmt w:val="lowerLetter"/>
      <w:lvlText w:val="%5."/>
      <w:lvlJc w:val="left"/>
      <w:pPr>
        <w:ind w:left="3600" w:hanging="360"/>
      </w:pPr>
    </w:lvl>
    <w:lvl w:ilvl="5" w:tplc="1DFA4710" w:tentative="1">
      <w:start w:val="1"/>
      <w:numFmt w:val="lowerRoman"/>
      <w:lvlText w:val="%6."/>
      <w:lvlJc w:val="right"/>
      <w:pPr>
        <w:ind w:left="4320" w:hanging="180"/>
      </w:pPr>
    </w:lvl>
    <w:lvl w:ilvl="6" w:tplc="9D2C31E2" w:tentative="1">
      <w:start w:val="1"/>
      <w:numFmt w:val="decimal"/>
      <w:lvlText w:val="%7."/>
      <w:lvlJc w:val="left"/>
      <w:pPr>
        <w:ind w:left="5040" w:hanging="360"/>
      </w:pPr>
    </w:lvl>
    <w:lvl w:ilvl="7" w:tplc="F6E65700" w:tentative="1">
      <w:start w:val="1"/>
      <w:numFmt w:val="lowerLetter"/>
      <w:lvlText w:val="%8."/>
      <w:lvlJc w:val="left"/>
      <w:pPr>
        <w:ind w:left="5760" w:hanging="360"/>
      </w:pPr>
    </w:lvl>
    <w:lvl w:ilvl="8" w:tplc="370C460E" w:tentative="1">
      <w:start w:val="1"/>
      <w:numFmt w:val="lowerRoman"/>
      <w:lvlText w:val="%9."/>
      <w:lvlJc w:val="right"/>
      <w:pPr>
        <w:ind w:left="6480" w:hanging="180"/>
      </w:pPr>
    </w:lvl>
  </w:abstractNum>
  <w:abstractNum w:abstractNumId="7" w15:restartNumberingAfterBreak="0">
    <w:nsid w:val="53633A8D"/>
    <w:multiLevelType w:val="hybridMultilevel"/>
    <w:tmpl w:val="50347262"/>
    <w:lvl w:ilvl="0" w:tplc="28441622">
      <w:start w:val="1"/>
      <w:numFmt w:val="decimal"/>
      <w:lvlText w:val="%1."/>
      <w:lvlJc w:val="left"/>
      <w:pPr>
        <w:ind w:left="540" w:hanging="360"/>
      </w:pPr>
    </w:lvl>
    <w:lvl w:ilvl="1" w:tplc="94ECC6DA">
      <w:start w:val="1"/>
      <w:numFmt w:val="lowerLetter"/>
      <w:lvlText w:val="%2."/>
      <w:lvlJc w:val="left"/>
      <w:pPr>
        <w:ind w:left="1260" w:hanging="360"/>
      </w:pPr>
    </w:lvl>
    <w:lvl w:ilvl="2" w:tplc="1E8AE226" w:tentative="1">
      <w:start w:val="1"/>
      <w:numFmt w:val="lowerRoman"/>
      <w:lvlText w:val="%3."/>
      <w:lvlJc w:val="right"/>
      <w:pPr>
        <w:ind w:left="1980" w:hanging="180"/>
      </w:pPr>
    </w:lvl>
    <w:lvl w:ilvl="3" w:tplc="65F84810" w:tentative="1">
      <w:start w:val="1"/>
      <w:numFmt w:val="decimal"/>
      <w:lvlText w:val="%4."/>
      <w:lvlJc w:val="left"/>
      <w:pPr>
        <w:ind w:left="2700" w:hanging="360"/>
      </w:pPr>
    </w:lvl>
    <w:lvl w:ilvl="4" w:tplc="F078BD66" w:tentative="1">
      <w:start w:val="1"/>
      <w:numFmt w:val="lowerLetter"/>
      <w:lvlText w:val="%5."/>
      <w:lvlJc w:val="left"/>
      <w:pPr>
        <w:ind w:left="3420" w:hanging="360"/>
      </w:pPr>
    </w:lvl>
    <w:lvl w:ilvl="5" w:tplc="7A849EDE" w:tentative="1">
      <w:start w:val="1"/>
      <w:numFmt w:val="lowerRoman"/>
      <w:lvlText w:val="%6."/>
      <w:lvlJc w:val="right"/>
      <w:pPr>
        <w:ind w:left="4140" w:hanging="180"/>
      </w:pPr>
    </w:lvl>
    <w:lvl w:ilvl="6" w:tplc="25963C56" w:tentative="1">
      <w:start w:val="1"/>
      <w:numFmt w:val="decimal"/>
      <w:lvlText w:val="%7."/>
      <w:lvlJc w:val="left"/>
      <w:pPr>
        <w:ind w:left="4860" w:hanging="360"/>
      </w:pPr>
    </w:lvl>
    <w:lvl w:ilvl="7" w:tplc="0CF8E3A8" w:tentative="1">
      <w:start w:val="1"/>
      <w:numFmt w:val="lowerLetter"/>
      <w:lvlText w:val="%8."/>
      <w:lvlJc w:val="left"/>
      <w:pPr>
        <w:ind w:left="5580" w:hanging="360"/>
      </w:pPr>
    </w:lvl>
    <w:lvl w:ilvl="8" w:tplc="4B6E25C0" w:tentative="1">
      <w:start w:val="1"/>
      <w:numFmt w:val="lowerRoman"/>
      <w:lvlText w:val="%9."/>
      <w:lvlJc w:val="right"/>
      <w:pPr>
        <w:ind w:left="6300" w:hanging="180"/>
      </w:pPr>
    </w:lvl>
  </w:abstractNum>
  <w:abstractNum w:abstractNumId="8" w15:restartNumberingAfterBreak="0">
    <w:nsid w:val="654A229F"/>
    <w:multiLevelType w:val="hybridMultilevel"/>
    <w:tmpl w:val="503CA406"/>
    <w:lvl w:ilvl="0" w:tplc="B142BAB6">
      <w:start w:val="1"/>
      <w:numFmt w:val="decimal"/>
      <w:lvlText w:val="%1."/>
      <w:lvlJc w:val="left"/>
      <w:pPr>
        <w:ind w:left="720" w:hanging="360"/>
      </w:pPr>
    </w:lvl>
    <w:lvl w:ilvl="1" w:tplc="8616741A">
      <w:start w:val="1"/>
      <w:numFmt w:val="lowerLetter"/>
      <w:lvlText w:val="%2."/>
      <w:lvlJc w:val="left"/>
      <w:pPr>
        <w:ind w:left="1440" w:hanging="360"/>
      </w:pPr>
    </w:lvl>
    <w:lvl w:ilvl="2" w:tplc="66D09170" w:tentative="1">
      <w:start w:val="1"/>
      <w:numFmt w:val="lowerRoman"/>
      <w:lvlText w:val="%3."/>
      <w:lvlJc w:val="right"/>
      <w:pPr>
        <w:ind w:left="2160" w:hanging="180"/>
      </w:pPr>
    </w:lvl>
    <w:lvl w:ilvl="3" w:tplc="02247720" w:tentative="1">
      <w:start w:val="1"/>
      <w:numFmt w:val="decimal"/>
      <w:lvlText w:val="%4."/>
      <w:lvlJc w:val="left"/>
      <w:pPr>
        <w:ind w:left="2880" w:hanging="360"/>
      </w:pPr>
    </w:lvl>
    <w:lvl w:ilvl="4" w:tplc="A04C008A" w:tentative="1">
      <w:start w:val="1"/>
      <w:numFmt w:val="lowerLetter"/>
      <w:lvlText w:val="%5."/>
      <w:lvlJc w:val="left"/>
      <w:pPr>
        <w:ind w:left="3600" w:hanging="360"/>
      </w:pPr>
    </w:lvl>
    <w:lvl w:ilvl="5" w:tplc="27AA1BDE" w:tentative="1">
      <w:start w:val="1"/>
      <w:numFmt w:val="lowerRoman"/>
      <w:lvlText w:val="%6."/>
      <w:lvlJc w:val="right"/>
      <w:pPr>
        <w:ind w:left="4320" w:hanging="180"/>
      </w:pPr>
    </w:lvl>
    <w:lvl w:ilvl="6" w:tplc="89CCBAF0" w:tentative="1">
      <w:start w:val="1"/>
      <w:numFmt w:val="decimal"/>
      <w:lvlText w:val="%7."/>
      <w:lvlJc w:val="left"/>
      <w:pPr>
        <w:ind w:left="5040" w:hanging="360"/>
      </w:pPr>
    </w:lvl>
    <w:lvl w:ilvl="7" w:tplc="3E50F576" w:tentative="1">
      <w:start w:val="1"/>
      <w:numFmt w:val="lowerLetter"/>
      <w:lvlText w:val="%8."/>
      <w:lvlJc w:val="left"/>
      <w:pPr>
        <w:ind w:left="5760" w:hanging="360"/>
      </w:pPr>
    </w:lvl>
    <w:lvl w:ilvl="8" w:tplc="6FF0EBDC" w:tentative="1">
      <w:start w:val="1"/>
      <w:numFmt w:val="lowerRoman"/>
      <w:lvlText w:val="%9."/>
      <w:lvlJc w:val="right"/>
      <w:pPr>
        <w:ind w:left="6480" w:hanging="180"/>
      </w:pPr>
    </w:lvl>
  </w:abstractNum>
  <w:abstractNum w:abstractNumId="9" w15:restartNumberingAfterBreak="0">
    <w:nsid w:val="68EB4A54"/>
    <w:multiLevelType w:val="hybridMultilevel"/>
    <w:tmpl w:val="50347262"/>
    <w:lvl w:ilvl="0" w:tplc="5D46A488">
      <w:start w:val="1"/>
      <w:numFmt w:val="decimal"/>
      <w:lvlText w:val="%1."/>
      <w:lvlJc w:val="left"/>
      <w:pPr>
        <w:ind w:left="540" w:hanging="360"/>
      </w:pPr>
    </w:lvl>
    <w:lvl w:ilvl="1" w:tplc="6CCE848E">
      <w:start w:val="1"/>
      <w:numFmt w:val="lowerLetter"/>
      <w:lvlText w:val="%2."/>
      <w:lvlJc w:val="left"/>
      <w:pPr>
        <w:ind w:left="1260" w:hanging="360"/>
      </w:pPr>
    </w:lvl>
    <w:lvl w:ilvl="2" w:tplc="D7EE4B18" w:tentative="1">
      <w:start w:val="1"/>
      <w:numFmt w:val="lowerRoman"/>
      <w:lvlText w:val="%3."/>
      <w:lvlJc w:val="right"/>
      <w:pPr>
        <w:ind w:left="1980" w:hanging="180"/>
      </w:pPr>
    </w:lvl>
    <w:lvl w:ilvl="3" w:tplc="6BA4F50C" w:tentative="1">
      <w:start w:val="1"/>
      <w:numFmt w:val="decimal"/>
      <w:lvlText w:val="%4."/>
      <w:lvlJc w:val="left"/>
      <w:pPr>
        <w:ind w:left="2700" w:hanging="360"/>
      </w:pPr>
    </w:lvl>
    <w:lvl w:ilvl="4" w:tplc="702CD93A" w:tentative="1">
      <w:start w:val="1"/>
      <w:numFmt w:val="lowerLetter"/>
      <w:lvlText w:val="%5."/>
      <w:lvlJc w:val="left"/>
      <w:pPr>
        <w:ind w:left="3420" w:hanging="360"/>
      </w:pPr>
    </w:lvl>
    <w:lvl w:ilvl="5" w:tplc="0FA464DC" w:tentative="1">
      <w:start w:val="1"/>
      <w:numFmt w:val="lowerRoman"/>
      <w:lvlText w:val="%6."/>
      <w:lvlJc w:val="right"/>
      <w:pPr>
        <w:ind w:left="4140" w:hanging="180"/>
      </w:pPr>
    </w:lvl>
    <w:lvl w:ilvl="6" w:tplc="D292AE62" w:tentative="1">
      <w:start w:val="1"/>
      <w:numFmt w:val="decimal"/>
      <w:lvlText w:val="%7."/>
      <w:lvlJc w:val="left"/>
      <w:pPr>
        <w:ind w:left="4860" w:hanging="360"/>
      </w:pPr>
    </w:lvl>
    <w:lvl w:ilvl="7" w:tplc="8DE4DD50" w:tentative="1">
      <w:start w:val="1"/>
      <w:numFmt w:val="lowerLetter"/>
      <w:lvlText w:val="%8."/>
      <w:lvlJc w:val="left"/>
      <w:pPr>
        <w:ind w:left="5580" w:hanging="360"/>
      </w:pPr>
    </w:lvl>
    <w:lvl w:ilvl="8" w:tplc="E1C4A80A" w:tentative="1">
      <w:start w:val="1"/>
      <w:numFmt w:val="lowerRoman"/>
      <w:lvlText w:val="%9."/>
      <w:lvlJc w:val="right"/>
      <w:pPr>
        <w:ind w:left="6300" w:hanging="180"/>
      </w:pPr>
    </w:lvl>
  </w:abstractNum>
  <w:abstractNum w:abstractNumId="10" w15:restartNumberingAfterBreak="0">
    <w:nsid w:val="7E8E60CA"/>
    <w:multiLevelType w:val="hybridMultilevel"/>
    <w:tmpl w:val="ACF85610"/>
    <w:lvl w:ilvl="0" w:tplc="D89C7342">
      <w:start w:val="1"/>
      <w:numFmt w:val="decimal"/>
      <w:lvlText w:val="%1."/>
      <w:lvlJc w:val="left"/>
      <w:pPr>
        <w:ind w:left="720" w:hanging="360"/>
      </w:pPr>
    </w:lvl>
    <w:lvl w:ilvl="1" w:tplc="0E9263D0">
      <w:start w:val="1"/>
      <w:numFmt w:val="lowerLetter"/>
      <w:lvlText w:val="%2."/>
      <w:lvlJc w:val="left"/>
      <w:pPr>
        <w:ind w:left="1440" w:hanging="360"/>
      </w:pPr>
    </w:lvl>
    <w:lvl w:ilvl="2" w:tplc="9EA487C8">
      <w:start w:val="1"/>
      <w:numFmt w:val="lowerRoman"/>
      <w:lvlText w:val="%3."/>
      <w:lvlJc w:val="right"/>
      <w:pPr>
        <w:ind w:left="2160" w:hanging="180"/>
      </w:pPr>
    </w:lvl>
    <w:lvl w:ilvl="3" w:tplc="6AEC55B6" w:tentative="1">
      <w:start w:val="1"/>
      <w:numFmt w:val="decimal"/>
      <w:lvlText w:val="%4."/>
      <w:lvlJc w:val="left"/>
      <w:pPr>
        <w:ind w:left="2880" w:hanging="360"/>
      </w:pPr>
    </w:lvl>
    <w:lvl w:ilvl="4" w:tplc="A8F67EE8" w:tentative="1">
      <w:start w:val="1"/>
      <w:numFmt w:val="lowerLetter"/>
      <w:lvlText w:val="%5."/>
      <w:lvlJc w:val="left"/>
      <w:pPr>
        <w:ind w:left="3600" w:hanging="360"/>
      </w:pPr>
    </w:lvl>
    <w:lvl w:ilvl="5" w:tplc="14E01496" w:tentative="1">
      <w:start w:val="1"/>
      <w:numFmt w:val="lowerRoman"/>
      <w:lvlText w:val="%6."/>
      <w:lvlJc w:val="right"/>
      <w:pPr>
        <w:ind w:left="4320" w:hanging="180"/>
      </w:pPr>
    </w:lvl>
    <w:lvl w:ilvl="6" w:tplc="2F8EAF70" w:tentative="1">
      <w:start w:val="1"/>
      <w:numFmt w:val="decimal"/>
      <w:lvlText w:val="%7."/>
      <w:lvlJc w:val="left"/>
      <w:pPr>
        <w:ind w:left="5040" w:hanging="360"/>
      </w:pPr>
    </w:lvl>
    <w:lvl w:ilvl="7" w:tplc="0B5650CE" w:tentative="1">
      <w:start w:val="1"/>
      <w:numFmt w:val="lowerLetter"/>
      <w:lvlText w:val="%8."/>
      <w:lvlJc w:val="left"/>
      <w:pPr>
        <w:ind w:left="5760" w:hanging="360"/>
      </w:pPr>
    </w:lvl>
    <w:lvl w:ilvl="8" w:tplc="62E4271E"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3"/>
  </w:num>
  <w:num w:numId="5">
    <w:abstractNumId w:val="1"/>
  </w:num>
  <w:num w:numId="6">
    <w:abstractNumId w:val="6"/>
  </w:num>
  <w:num w:numId="7">
    <w:abstractNumId w:val="9"/>
  </w:num>
  <w:num w:numId="8">
    <w:abstractNumId w:val="2"/>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66"/>
    <w:rsid w:val="003C1966"/>
    <w:rsid w:val="00622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71E4B"/>
  <w15:chartTrackingRefBased/>
  <w15:docId w15:val="{A6445B85-7927-4A9C-9C7D-3C35DCC4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tevaphar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8F9B8.210D545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941CB-0C8B-4A9B-AE27-F24789CD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Fedirka</dc:creator>
  <cp:lastModifiedBy>Heather Fedirka</cp:lastModifiedBy>
  <cp:revision>2</cp:revision>
  <dcterms:created xsi:type="dcterms:W3CDTF">2022-12-12T18:39:00Z</dcterms:created>
  <dcterms:modified xsi:type="dcterms:W3CDTF">2022-12-12T18:39:00Z</dcterms:modified>
</cp:coreProperties>
</file>